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media/image1.png" ContentType="image/png"/>
  <Override PartName="/word/header3.xml" ContentType="application/vnd.openxmlformats-officedocument.wordprocessingml.header+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header3.xml.rels" ContentType="application/vnd.openxmlformats-package.relationships+xml"/>
  <Override PartName="/word/_rels/footer2.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1"/>
        <w:spacing w:lineRule="auto" w:line="240" w:before="120" w:after="120"/>
        <w:rPr/>
      </w:pPr>
      <w:r>
        <w:rPr/>
        <w:t>South Morningside Parent Council (SMPC) PVG Policy</w:t>
      </w:r>
    </w:p>
    <w:p>
      <w:pPr>
        <w:pStyle w:val="Heading2"/>
        <w:rPr/>
      </w:pPr>
      <w:r>
        <w:rPr/>
        <w:t>Background</w:t>
      </w:r>
    </w:p>
    <w:p>
      <w:pPr>
        <w:pStyle w:val="normal1"/>
        <w:rPr>
          <w:shd w:fill="auto" w:val="clear"/>
        </w:rPr>
      </w:pPr>
      <w:r>
        <w:rPr>
          <w:shd w:fill="auto" w:val="clear"/>
        </w:rPr>
        <w:t xml:space="preserve">South Morningside Parent Council aims to ensure that all children are kept safe from harm while they are engaged in clubs, activities and events which it organises, runs and manages.  </w:t>
      </w:r>
    </w:p>
    <w:p>
      <w:pPr>
        <w:pStyle w:val="normal1"/>
        <w:rPr>
          <w:shd w:fill="auto" w:val="clear"/>
        </w:rPr>
      </w:pPr>
      <w:r>
        <w:rPr>
          <w:shd w:fill="auto" w:val="clear"/>
        </w:rPr>
        <w:t xml:space="preserve">Volunteers and clubs tutors who are carrying out certain ‘regulated’ activities and who have ‘contact with children’ (note that this is not limited to physical contact) are legally required to become members of the PVG scheme.  The PVG scheme membership must be associated with South Morningside Parent Council; it is not sufficient to have PVG scheme membership with another organisation. = </w:t>
      </w:r>
    </w:p>
    <w:p>
      <w:pPr>
        <w:pStyle w:val="normal1"/>
        <w:rPr>
          <w:shd w:fill="auto" w:val="clear"/>
        </w:rPr>
      </w:pPr>
      <w:r>
        <w:rPr>
          <w:shd w:fill="auto" w:val="clear"/>
        </w:rPr>
        <w:t>Disclosure Scotland will continually monitor scheme members’ suitability to undertake regulated roles and will notify SMPC  if someone is barred (as they have become unsuitable to undertake a regulated role) or if someone is under consideration for listing. This can happen either at the time that someone applies to join the PVG Scheme or throughout the period that they are undertaking a regulated  role.</w:t>
      </w:r>
    </w:p>
    <w:p>
      <w:pPr>
        <w:pStyle w:val="normal1"/>
        <w:rPr>
          <w:shd w:fill="auto" w:val="clear"/>
        </w:rPr>
      </w:pPr>
      <w:r>
        <w:rPr>
          <w:shd w:fill="auto" w:val="clear"/>
        </w:rPr>
      </w:r>
    </w:p>
    <w:p>
      <w:pPr>
        <w:pStyle w:val="Heading2"/>
        <w:rPr>
          <w:shd w:fill="auto" w:val="clear"/>
        </w:rPr>
      </w:pPr>
      <w:r>
        <w:rPr>
          <w:shd w:fill="auto" w:val="clear"/>
        </w:rPr>
        <w:t>Policy Scope</w:t>
      </w:r>
    </w:p>
    <w:p>
      <w:pPr>
        <w:pStyle w:val="normal1"/>
        <w:rPr>
          <w:shd w:fill="auto" w:val="clear"/>
        </w:rPr>
      </w:pPr>
      <w:r>
        <w:rPr>
          <w:shd w:fill="auto" w:val="clear"/>
        </w:rPr>
        <w:t>This policy applies to all clubs , activities and events that operate on behalf of SMPC.</w:t>
      </w:r>
    </w:p>
    <w:p>
      <w:pPr>
        <w:pStyle w:val="normal1"/>
        <w:rPr>
          <w:shd w:fill="auto" w:val="clear"/>
        </w:rPr>
      </w:pPr>
      <w:r>
        <w:rPr>
          <w:shd w:fill="auto" w:val="clear"/>
        </w:rPr>
        <w:t>School clubs (e.g. school teams), activities and events will have their PVGs managed directly by the school and are not covered by this policy.</w:t>
      </w:r>
    </w:p>
    <w:p>
      <w:pPr>
        <w:pStyle w:val="normal1"/>
        <w:rPr>
          <w:shd w:fill="auto" w:val="clear"/>
        </w:rPr>
      </w:pPr>
      <w:r>
        <w:rPr>
          <w:shd w:fill="auto" w:val="clear"/>
        </w:rPr>
        <w:t>This policy covers 4 areas;</w:t>
      </w:r>
    </w:p>
    <w:p>
      <w:pPr>
        <w:pStyle w:val="normal1"/>
        <w:keepNext w:val="false"/>
        <w:keepLines w:val="false"/>
        <w:pageBreakBefore w:val="false"/>
        <w:widowControl/>
        <w:numPr>
          <w:ilvl w:val="0"/>
          <w:numId w:val="2"/>
        </w:numPr>
        <w:shd w:val="clear" w:fill="auto"/>
        <w:spacing w:lineRule="auto" w:line="252" w:before="0" w:after="0"/>
        <w:ind w:hanging="360" w:left="720" w:right="0"/>
        <w:jc w:val="left"/>
        <w:rPr>
          <w:shd w:fill="auto" w:val="clear"/>
        </w:rPr>
      </w:pPr>
      <w:r>
        <w:rPr>
          <w:b w:val="false"/>
          <w:i w:val="false"/>
          <w:caps w:val="false"/>
          <w:smallCaps w:val="false"/>
          <w:strike w:val="false"/>
          <w:dstrike w:val="false"/>
          <w:color w:val="000000"/>
          <w:position w:val="0"/>
          <w:sz w:val="22"/>
          <w:sz w:val="22"/>
          <w:szCs w:val="22"/>
          <w:u w:val="none"/>
          <w:shd w:fill="auto" w:val="clear"/>
          <w:vertAlign w:val="baseline"/>
        </w:rPr>
        <w:t>PVG Registration and Monitoring</w:t>
      </w:r>
    </w:p>
    <w:p>
      <w:pPr>
        <w:pStyle w:val="normal1"/>
        <w:keepNext w:val="false"/>
        <w:keepLines w:val="false"/>
        <w:pageBreakBefore w:val="false"/>
        <w:widowControl/>
        <w:numPr>
          <w:ilvl w:val="0"/>
          <w:numId w:val="2"/>
        </w:numPr>
        <w:shd w:val="clear" w:fill="auto"/>
        <w:spacing w:lineRule="auto" w:line="252" w:before="0" w:after="0"/>
        <w:ind w:hanging="360" w:left="720" w:right="0"/>
        <w:jc w:val="left"/>
        <w:rPr>
          <w:shd w:fill="auto" w:val="clear"/>
        </w:rPr>
      </w:pPr>
      <w:r>
        <w:rPr>
          <w:b w:val="false"/>
          <w:i w:val="false"/>
          <w:caps w:val="false"/>
          <w:smallCaps w:val="false"/>
          <w:strike w:val="false"/>
          <w:dstrike w:val="false"/>
          <w:color w:val="000000"/>
          <w:position w:val="0"/>
          <w:sz w:val="22"/>
          <w:sz w:val="22"/>
          <w:szCs w:val="22"/>
          <w:u w:val="none"/>
          <w:shd w:fill="auto" w:val="clear"/>
          <w:vertAlign w:val="baseline"/>
        </w:rPr>
        <w:t>Making Referrals under the PVG Act</w:t>
      </w:r>
    </w:p>
    <w:p>
      <w:pPr>
        <w:pStyle w:val="normal1"/>
        <w:keepNext w:val="false"/>
        <w:keepLines w:val="false"/>
        <w:pageBreakBefore w:val="false"/>
        <w:widowControl/>
        <w:numPr>
          <w:ilvl w:val="0"/>
          <w:numId w:val="2"/>
        </w:numPr>
        <w:shd w:val="clear" w:fill="auto"/>
        <w:spacing w:lineRule="auto" w:line="252" w:before="0" w:after="0"/>
        <w:ind w:hanging="360" w:left="720" w:right="0"/>
        <w:jc w:val="left"/>
        <w:rPr>
          <w:shd w:fill="auto" w:val="clear"/>
        </w:rPr>
      </w:pPr>
      <w:r>
        <w:rPr>
          <w:b w:val="false"/>
          <w:i w:val="false"/>
          <w:caps w:val="false"/>
          <w:smallCaps w:val="false"/>
          <w:strike w:val="false"/>
          <w:dstrike w:val="false"/>
          <w:color w:val="000000"/>
          <w:position w:val="0"/>
          <w:sz w:val="22"/>
          <w:sz w:val="22"/>
          <w:szCs w:val="22"/>
          <w:u w:val="none"/>
          <w:shd w:fill="auto" w:val="clear"/>
          <w:vertAlign w:val="baseline"/>
        </w:rPr>
        <w:t>Secure Handling, Use, Storage and Retention of Disclosure Information</w:t>
      </w:r>
    </w:p>
    <w:p>
      <w:pPr>
        <w:pStyle w:val="normal1"/>
        <w:keepNext w:val="false"/>
        <w:keepLines w:val="false"/>
        <w:pageBreakBefore w:val="false"/>
        <w:widowControl/>
        <w:numPr>
          <w:ilvl w:val="0"/>
          <w:numId w:val="2"/>
        </w:numPr>
        <w:shd w:val="clear" w:fill="auto"/>
        <w:spacing w:lineRule="auto" w:line="252" w:before="0" w:after="80"/>
        <w:ind w:hanging="360" w:left="720" w:right="0"/>
        <w:jc w:val="left"/>
        <w:rPr>
          <w:shd w:fill="auto" w:val="clear"/>
        </w:rPr>
      </w:pPr>
      <w:r>
        <w:rPr>
          <w:b w:val="false"/>
          <w:i w:val="false"/>
          <w:caps w:val="false"/>
          <w:smallCaps w:val="false"/>
          <w:strike w:val="false"/>
          <w:dstrike w:val="false"/>
          <w:color w:val="000000"/>
          <w:position w:val="0"/>
          <w:sz w:val="22"/>
          <w:sz w:val="22"/>
          <w:szCs w:val="22"/>
          <w:u w:val="none"/>
          <w:shd w:fill="auto" w:val="clear"/>
          <w:vertAlign w:val="baseline"/>
        </w:rPr>
        <w:t>Covering PVG Costs</w:t>
      </w:r>
    </w:p>
    <w:p>
      <w:pPr>
        <w:pStyle w:val="normal1"/>
        <w:rPr>
          <w:shd w:fill="auto" w:val="clear"/>
        </w:rPr>
      </w:pPr>
      <w:r>
        <w:rPr>
          <w:shd w:fill="auto" w:val="clear"/>
        </w:rPr>
      </w:r>
    </w:p>
    <w:p>
      <w:pPr>
        <w:pStyle w:val="Heading2"/>
        <w:rPr>
          <w:shd w:fill="auto" w:val="clear"/>
        </w:rPr>
      </w:pPr>
      <w:r>
        <w:rPr>
          <w:shd w:fill="auto" w:val="clear"/>
        </w:rPr>
        <w:t xml:space="preserve">1. PVG Registration and Monitoring </w:t>
      </w:r>
    </w:p>
    <w:p>
      <w:pPr>
        <w:pStyle w:val="Heading3"/>
        <w:rPr>
          <w:shd w:fill="auto" w:val="clear"/>
        </w:rPr>
      </w:pPr>
      <w:r>
        <w:rPr>
          <w:shd w:fill="auto" w:val="clear"/>
        </w:rPr>
        <w:t>Who needs a PVG?</w:t>
      </w:r>
    </w:p>
    <w:p>
      <w:pPr>
        <w:pStyle w:val="normal1"/>
        <w:spacing w:lineRule="auto" w:line="240" w:before="0" w:after="40"/>
        <w:rPr>
          <w:shd w:fill="auto" w:val="clear"/>
        </w:rPr>
      </w:pPr>
      <w:r>
        <w:rPr>
          <w:shd w:fill="auto" w:val="clear"/>
        </w:rPr>
        <w:t xml:space="preserve">Anyone who is identified as undertaking a regulated role for the Parent Council is legally required to become a member of the PVG scheme for children </w:t>
      </w:r>
      <w:r>
        <w:rPr>
          <w:b/>
          <w:u w:val="single"/>
          <w:shd w:fill="auto" w:val="clear"/>
        </w:rPr>
        <w:t>before</w:t>
      </w:r>
      <w:r>
        <w:rPr>
          <w:shd w:fill="auto" w:val="clear"/>
        </w:rPr>
        <w:t xml:space="preserve"> they can carry out their role for the Parent Council.  Not everyone who is involved in activities with the Parent Council will require to become members of the PVG scheme.  Rather, it is those people who are carrying out certain activities and who have ‘contact with children’ as a necessary part of their role who will.  ‘Contact’ must be a necessary part of the role (rather than incidental) and is defined as physical contact, visual, written or verbal communication and exercising power or influence.  </w:t>
      </w:r>
    </w:p>
    <w:p>
      <w:pPr>
        <w:pStyle w:val="normal1"/>
        <w:spacing w:lineRule="auto" w:line="240" w:before="0" w:after="40"/>
        <w:rPr>
          <w:shd w:fill="auto" w:val="clear"/>
        </w:rPr>
      </w:pPr>
      <w:r>
        <w:rPr>
          <w:shd w:fill="auto" w:val="clear"/>
        </w:rPr>
      </w:r>
    </w:p>
    <w:p>
      <w:pPr>
        <w:pStyle w:val="normal1"/>
        <w:keepNext w:val="false"/>
        <w:keepLines w:val="false"/>
        <w:pageBreakBefore w:val="false"/>
        <w:widowControl/>
        <w:shd w:val="clear" w:fill="auto"/>
        <w:spacing w:lineRule="auto" w:line="240" w:before="0" w:after="40"/>
        <w:ind w:hanging="0" w:left="0" w:right="0"/>
        <w:jc w:val="left"/>
        <w:rPr>
          <w:shd w:fill="auto" w:val="clear"/>
        </w:rPr>
      </w:pPr>
      <w:r>
        <w:rPr>
          <w:b w:val="false"/>
          <w:i w:val="false"/>
          <w:caps w:val="false"/>
          <w:smallCaps w:val="false"/>
          <w:strike w:val="false"/>
          <w:dstrike w:val="false"/>
          <w:color w:val="000000"/>
          <w:position w:val="0"/>
          <w:sz w:val="22"/>
          <w:sz w:val="22"/>
          <w:szCs w:val="22"/>
          <w:u w:val="none"/>
          <w:shd w:fill="auto" w:val="clear"/>
          <w:vertAlign w:val="baseline"/>
        </w:rPr>
        <w:t>The most common activities that may apply to parent run group roles include:</w:t>
      </w:r>
    </w:p>
    <w:p>
      <w:pPr>
        <w:pStyle w:val="normal1"/>
        <w:keepNext w:val="false"/>
        <w:keepLines w:val="false"/>
        <w:pageBreakBefore w:val="false"/>
        <w:widowControl/>
        <w:numPr>
          <w:ilvl w:val="0"/>
          <w:numId w:val="5"/>
        </w:numPr>
        <w:shd w:val="clear" w:fill="auto"/>
        <w:spacing w:lineRule="auto" w:line="240" w:before="0" w:after="40"/>
        <w:ind w:hanging="360" w:left="720" w:right="0"/>
        <w:jc w:val="left"/>
        <w:rPr>
          <w:shd w:fill="auto" w:val="clear"/>
        </w:rPr>
      </w:pPr>
      <w:r>
        <w:rPr>
          <w:b w:val="false"/>
          <w:i w:val="false"/>
          <w:caps w:val="false"/>
          <w:smallCaps w:val="false"/>
          <w:strike w:val="false"/>
          <w:dstrike w:val="false"/>
          <w:color w:val="000000"/>
          <w:position w:val="0"/>
          <w:sz w:val="22"/>
          <w:sz w:val="22"/>
          <w:szCs w:val="22"/>
          <w:u w:val="none"/>
          <w:shd w:fill="auto" w:val="clear"/>
          <w:vertAlign w:val="baseline"/>
        </w:rPr>
        <w:t>having responsibility for the safety and welfare of a child, other than acting as a foster carer in relation to the child</w:t>
      </w:r>
    </w:p>
    <w:p>
      <w:pPr>
        <w:pStyle w:val="normal1"/>
        <w:keepNext w:val="false"/>
        <w:keepLines w:val="false"/>
        <w:pageBreakBefore w:val="false"/>
        <w:widowControl/>
        <w:numPr>
          <w:ilvl w:val="0"/>
          <w:numId w:val="5"/>
        </w:numPr>
        <w:shd w:val="clear" w:fill="auto"/>
        <w:spacing w:lineRule="auto" w:line="240" w:before="0" w:after="40"/>
        <w:ind w:hanging="360" w:left="720" w:right="0"/>
        <w:jc w:val="left"/>
        <w:rPr>
          <w:shd w:fill="auto" w:val="clear"/>
        </w:rPr>
      </w:pPr>
      <w:r>
        <w:rPr>
          <w:b w:val="false"/>
          <w:i w:val="false"/>
          <w:caps w:val="false"/>
          <w:smallCaps w:val="false"/>
          <w:strike w:val="false"/>
          <w:dstrike w:val="false"/>
          <w:color w:val="000000"/>
          <w:position w:val="0"/>
          <w:sz w:val="22"/>
          <w:sz w:val="22"/>
          <w:szCs w:val="22"/>
          <w:u w:val="none"/>
          <w:shd w:fill="auto" w:val="clear"/>
          <w:vertAlign w:val="baseline"/>
        </w:rPr>
        <w:t>teaching, instructing or delivering training to children</w:t>
      </w:r>
    </w:p>
    <w:p>
      <w:pPr>
        <w:pStyle w:val="normal1"/>
        <w:keepNext w:val="false"/>
        <w:keepLines w:val="false"/>
        <w:pageBreakBefore w:val="false"/>
        <w:widowControl/>
        <w:numPr>
          <w:ilvl w:val="0"/>
          <w:numId w:val="5"/>
        </w:numPr>
        <w:shd w:val="clear" w:fill="auto"/>
        <w:spacing w:lineRule="auto" w:line="240" w:before="0" w:after="40"/>
        <w:ind w:hanging="360" w:left="720" w:right="0"/>
        <w:jc w:val="left"/>
        <w:rPr>
          <w:shd w:fill="auto" w:val="clear"/>
        </w:rPr>
      </w:pPr>
      <w:r>
        <w:rPr>
          <w:b w:val="false"/>
          <w:i w:val="false"/>
          <w:caps w:val="false"/>
          <w:smallCaps w:val="false"/>
          <w:strike w:val="false"/>
          <w:dstrike w:val="false"/>
          <w:color w:val="000000"/>
          <w:position w:val="0"/>
          <w:sz w:val="22"/>
          <w:sz w:val="22"/>
          <w:szCs w:val="22"/>
          <w:u w:val="none"/>
          <w:shd w:fill="auto" w:val="clear"/>
          <w:vertAlign w:val="baseline"/>
        </w:rPr>
        <w:t>being in charge of or caring for children, other than acting as a foster carer</w:t>
      </w:r>
    </w:p>
    <w:p>
      <w:pPr>
        <w:pStyle w:val="normal1"/>
        <w:keepNext w:val="false"/>
        <w:keepLines w:val="false"/>
        <w:pageBreakBefore w:val="false"/>
        <w:widowControl/>
        <w:numPr>
          <w:ilvl w:val="0"/>
          <w:numId w:val="5"/>
        </w:numPr>
        <w:shd w:val="clear" w:fill="auto"/>
        <w:spacing w:lineRule="auto" w:line="240" w:before="0" w:after="40"/>
        <w:ind w:hanging="360" w:left="720" w:right="0"/>
        <w:jc w:val="left"/>
        <w:rPr>
          <w:shd w:fill="auto" w:val="clear"/>
        </w:rPr>
      </w:pPr>
      <w:r>
        <w:rPr>
          <w:b w:val="false"/>
          <w:i w:val="false"/>
          <w:caps w:val="false"/>
          <w:smallCaps w:val="false"/>
          <w:strike w:val="false"/>
          <w:dstrike w:val="false"/>
          <w:color w:val="000000"/>
          <w:position w:val="0"/>
          <w:sz w:val="22"/>
          <w:sz w:val="22"/>
          <w:szCs w:val="22"/>
          <w:u w:val="none"/>
          <w:shd w:fill="auto" w:val="clear"/>
          <w:vertAlign w:val="baseline"/>
        </w:rPr>
        <w:t>providing cultural, leisure, social or recreational activities for children</w:t>
      </w:r>
    </w:p>
    <w:p>
      <w:pPr>
        <w:pStyle w:val="normal1"/>
        <w:keepNext w:val="false"/>
        <w:keepLines w:val="false"/>
        <w:pageBreakBefore w:val="false"/>
        <w:widowControl/>
        <w:numPr>
          <w:ilvl w:val="0"/>
          <w:numId w:val="5"/>
        </w:numPr>
        <w:shd w:val="clear" w:fill="auto"/>
        <w:spacing w:lineRule="auto" w:line="240" w:before="0" w:after="40"/>
        <w:ind w:hanging="360" w:left="720" w:right="0"/>
        <w:jc w:val="left"/>
        <w:rPr>
          <w:shd w:fill="auto" w:val="clear"/>
        </w:rPr>
      </w:pPr>
      <w:r>
        <w:rPr>
          <w:b w:val="false"/>
          <w:i w:val="false"/>
          <w:caps w:val="false"/>
          <w:smallCaps w:val="false"/>
          <w:strike w:val="false"/>
          <w:dstrike w:val="false"/>
          <w:color w:val="000000"/>
          <w:position w:val="0"/>
          <w:sz w:val="22"/>
          <w:sz w:val="22"/>
          <w:szCs w:val="22"/>
          <w:u w:val="none"/>
          <w:shd w:fill="auto" w:val="clear"/>
          <w:vertAlign w:val="baseline"/>
        </w:rPr>
        <w:t>coaching children in relation to sports or physical activity</w:t>
      </w:r>
    </w:p>
    <w:p>
      <w:pPr>
        <w:pStyle w:val="normal1"/>
        <w:keepNext w:val="false"/>
        <w:keepLines w:val="false"/>
        <w:pageBreakBefore w:val="false"/>
        <w:widowControl/>
        <w:numPr>
          <w:ilvl w:val="0"/>
          <w:numId w:val="5"/>
        </w:numPr>
        <w:shd w:val="clear" w:fill="auto"/>
        <w:spacing w:lineRule="auto" w:line="240" w:before="0" w:after="40"/>
        <w:ind w:hanging="360" w:left="720" w:right="0"/>
        <w:jc w:val="left"/>
        <w:rPr>
          <w:shd w:fill="auto" w:val="clear"/>
        </w:rPr>
      </w:pPr>
      <w:r>
        <w:rPr>
          <w:b w:val="false"/>
          <w:i w:val="false"/>
          <w:caps w:val="false"/>
          <w:smallCaps w:val="false"/>
          <w:strike w:val="false"/>
          <w:dstrike w:val="false"/>
          <w:color w:val="000000"/>
          <w:position w:val="0"/>
          <w:sz w:val="22"/>
          <w:sz w:val="22"/>
          <w:szCs w:val="22"/>
          <w:u w:val="none"/>
          <w:shd w:fill="auto" w:val="clear"/>
          <w:vertAlign w:val="baseline"/>
        </w:rPr>
        <w:t>driving or escorting children in connection with transport services provided exclusively or mainly for children</w:t>
      </w:r>
    </w:p>
    <w:p>
      <w:pPr>
        <w:pStyle w:val="normal1"/>
        <w:keepNext w:val="false"/>
        <w:keepLines w:val="false"/>
        <w:pageBreakBefore w:val="false"/>
        <w:widowControl/>
        <w:numPr>
          <w:ilvl w:val="0"/>
          <w:numId w:val="5"/>
        </w:numPr>
        <w:shd w:val="clear" w:fill="auto"/>
        <w:spacing w:lineRule="auto" w:line="240" w:before="0" w:after="40"/>
        <w:ind w:hanging="360" w:left="720" w:right="0"/>
        <w:jc w:val="left"/>
        <w:rPr>
          <w:shd w:fill="auto" w:val="clear"/>
        </w:rPr>
      </w:pPr>
      <w:r>
        <w:rPr>
          <w:b w:val="false"/>
          <w:i w:val="false"/>
          <w:caps w:val="false"/>
          <w:smallCaps w:val="false"/>
          <w:strike w:val="false"/>
          <w:dstrike w:val="false"/>
          <w:color w:val="000000"/>
          <w:position w:val="0"/>
          <w:sz w:val="22"/>
          <w:sz w:val="22"/>
          <w:szCs w:val="22"/>
          <w:u w:val="none"/>
          <w:shd w:fill="auto" w:val="clear"/>
          <w:vertAlign w:val="baseline"/>
        </w:rPr>
        <w:t>holding a position of responsibility in an organisation which has as one of its main purposes the provision of benefits for or to children (regardless of whether the organisation has an additional purpose of providing benefits for or to another group of persons)</w:t>
      </w:r>
    </w:p>
    <w:p>
      <w:pPr>
        <w:pStyle w:val="normal1"/>
        <w:spacing w:lineRule="auto" w:line="240" w:before="0" w:after="40"/>
        <w:rPr>
          <w:shd w:fill="auto" w:val="clear"/>
        </w:rPr>
      </w:pPr>
      <w:r>
        <w:rPr>
          <w:shd w:fill="auto" w:val="clear"/>
        </w:rPr>
      </w:r>
    </w:p>
    <w:p>
      <w:pPr>
        <w:pStyle w:val="normal1"/>
        <w:spacing w:lineRule="auto" w:line="240" w:before="0" w:after="40"/>
        <w:rPr>
          <w:shd w:fill="auto" w:val="clear"/>
        </w:rPr>
      </w:pPr>
      <w:r>
        <w:rPr>
          <w:shd w:fill="auto" w:val="clear"/>
        </w:rPr>
        <w:t>The Parent Council has identified the following roles as regulated and therefore anyone undertaking them will require PVG scheme membership with children:</w:t>
      </w:r>
    </w:p>
    <w:p>
      <w:pPr>
        <w:pStyle w:val="normal1"/>
        <w:spacing w:lineRule="auto" w:line="240" w:before="0" w:after="40"/>
        <w:rPr>
          <w:shd w:fill="auto" w:val="clear"/>
        </w:rPr>
      </w:pPr>
      <w:r>
        <w:rPr>
          <w:shd w:fill="auto" w:val="clear"/>
        </w:rPr>
      </w:r>
    </w:p>
    <w:p>
      <w:pPr>
        <w:pStyle w:val="normal1"/>
        <w:numPr>
          <w:ilvl w:val="0"/>
          <w:numId w:val="4"/>
        </w:numPr>
        <w:spacing w:lineRule="auto" w:line="240" w:before="0" w:after="40"/>
        <w:ind w:hanging="360" w:left="720"/>
        <w:rPr>
          <w:shd w:fill="auto" w:val="clear"/>
        </w:rPr>
      </w:pPr>
      <w:r>
        <w:rPr>
          <w:shd w:fill="auto" w:val="clear"/>
        </w:rPr>
        <w:t xml:space="preserve">All Parent Council </w:t>
      </w:r>
      <w:r>
        <w:rPr>
          <w:u w:val="single"/>
          <w:shd w:fill="auto" w:val="clear"/>
        </w:rPr>
        <w:t>voting</w:t>
      </w:r>
      <w:r>
        <w:rPr>
          <w:shd w:fill="auto" w:val="clear"/>
        </w:rPr>
        <w:t xml:space="preserve"> members</w:t>
      </w:r>
    </w:p>
    <w:p>
      <w:pPr>
        <w:pStyle w:val="normal1"/>
        <w:numPr>
          <w:ilvl w:val="0"/>
          <w:numId w:val="4"/>
        </w:numPr>
        <w:spacing w:lineRule="auto" w:line="240" w:before="0" w:after="40"/>
        <w:ind w:hanging="360" w:left="720"/>
        <w:rPr>
          <w:shd w:fill="auto" w:val="clear"/>
        </w:rPr>
      </w:pPr>
      <w:r>
        <w:rPr>
          <w:shd w:fill="auto" w:val="clear"/>
        </w:rPr>
        <w:t>Parent Council subgroup members for Clubs, Finance and Fundraising</w:t>
      </w:r>
    </w:p>
    <w:p>
      <w:pPr>
        <w:pStyle w:val="normal1"/>
        <w:numPr>
          <w:ilvl w:val="0"/>
          <w:numId w:val="4"/>
        </w:numPr>
        <w:spacing w:lineRule="auto" w:line="240" w:before="0" w:after="40"/>
        <w:ind w:hanging="360" w:left="720"/>
        <w:rPr>
          <w:shd w:fill="auto" w:val="clear"/>
        </w:rPr>
      </w:pPr>
      <w:r>
        <w:rPr>
          <w:shd w:fill="auto" w:val="clear"/>
        </w:rPr>
        <w:t>Regular summer and winter fair volunteers (i.e. anything which is more than a ‘one off’)</w:t>
      </w:r>
    </w:p>
    <w:p>
      <w:pPr>
        <w:pStyle w:val="normal1"/>
        <w:numPr>
          <w:ilvl w:val="0"/>
          <w:numId w:val="4"/>
        </w:numPr>
        <w:spacing w:lineRule="auto" w:line="240" w:before="0" w:after="40"/>
        <w:ind w:hanging="360" w:left="720"/>
        <w:rPr>
          <w:shd w:fill="auto" w:val="clear"/>
        </w:rPr>
      </w:pPr>
      <w:r>
        <w:rPr>
          <w:shd w:fill="auto" w:val="clear"/>
        </w:rPr>
        <w:t>All Clubs Tutors, Convenors/Co-ordinators and regular volunteers (i.e. anyone who is on a ‘rota’ to help at the club)</w:t>
      </w:r>
    </w:p>
    <w:p>
      <w:pPr>
        <w:pStyle w:val="normal1"/>
        <w:numPr>
          <w:ilvl w:val="0"/>
          <w:numId w:val="4"/>
        </w:numPr>
        <w:spacing w:lineRule="auto" w:line="240" w:before="0" w:after="40"/>
        <w:ind w:hanging="360" w:left="720"/>
        <w:rPr>
          <w:shd w:fill="auto" w:val="clear"/>
        </w:rPr>
      </w:pPr>
      <w:r>
        <w:rPr>
          <w:shd w:fill="auto" w:val="clear"/>
        </w:rPr>
        <w:t>PVG scheme administrators</w:t>
      </w:r>
    </w:p>
    <w:p>
      <w:pPr>
        <w:pStyle w:val="normal1"/>
        <w:spacing w:lineRule="auto" w:line="240" w:before="0" w:after="40"/>
        <w:rPr>
          <w:shd w:fill="auto" w:val="clear"/>
        </w:rPr>
      </w:pPr>
      <w:r>
        <w:rPr>
          <w:shd w:fill="auto" w:val="clear"/>
        </w:rPr>
      </w:r>
    </w:p>
    <w:p>
      <w:pPr>
        <w:pStyle w:val="normal1"/>
        <w:spacing w:lineRule="auto" w:line="240" w:before="0" w:after="40"/>
        <w:rPr>
          <w:shd w:fill="auto" w:val="clear"/>
        </w:rPr>
      </w:pPr>
      <w:r>
        <w:rPr>
          <w:shd w:fill="auto" w:val="clear"/>
        </w:rPr>
        <w:t xml:space="preserve">This list is subject to change and so any new roles should be assessed to determine whether or not they meet the requirements of a ‘regulated’ role.  Equally, if roles for the Parent Council change in scope, they should also be assessed to determine whether or not PVG scheme membership is still required.  This assessment can be undertaken on the Disclosure Scotland website here -https://www.mygov.scot/check-role-needs-pvg </w:t>
      </w:r>
    </w:p>
    <w:p>
      <w:pPr>
        <w:pStyle w:val="normal1"/>
        <w:spacing w:lineRule="auto" w:line="240" w:before="0" w:after="40"/>
        <w:rPr>
          <w:shd w:fill="auto" w:val="clear"/>
        </w:rPr>
      </w:pPr>
      <w:r>
        <w:rPr>
          <w:shd w:fill="auto" w:val="clear"/>
        </w:rPr>
      </w:r>
    </w:p>
    <w:p>
      <w:pPr>
        <w:pStyle w:val="Heading3"/>
        <w:rPr>
          <w:shd w:fill="auto" w:val="clear"/>
        </w:rPr>
      </w:pPr>
      <w:r>
        <w:rPr>
          <w:shd w:fill="auto" w:val="clear"/>
        </w:rPr>
        <w:t>PVG Registration Requirements</w:t>
      </w:r>
    </w:p>
    <w:p>
      <w:pPr>
        <w:pStyle w:val="normal1"/>
        <w:spacing w:lineRule="auto" w:line="240" w:before="0" w:after="40"/>
        <w:rPr>
          <w:shd w:fill="auto" w:val="clear"/>
        </w:rPr>
      </w:pPr>
      <w:r>
        <w:rPr>
          <w:shd w:fill="auto" w:val="clear"/>
        </w:rPr>
        <w:t>Normally, the PVG must  be registered with  SMPC.</w:t>
      </w:r>
    </w:p>
    <w:p>
      <w:pPr>
        <w:pStyle w:val="normal1"/>
        <w:spacing w:lineRule="auto" w:line="240" w:before="0" w:after="40"/>
        <w:rPr>
          <w:shd w:fill="auto" w:val="clear"/>
        </w:rPr>
      </w:pPr>
      <w:r>
        <w:rPr>
          <w:shd w:fill="auto" w:val="clear"/>
        </w:rPr>
        <w:t>By exception, where the club is purchased as a “professional service”, the PVG may be registered with a 3rd party.  Where this is the case;</w:t>
      </w:r>
    </w:p>
    <w:p>
      <w:pPr>
        <w:pStyle w:val="normal1"/>
        <w:keepNext w:val="false"/>
        <w:keepLines w:val="false"/>
        <w:pageBreakBefore w:val="false"/>
        <w:widowControl/>
        <w:numPr>
          <w:ilvl w:val="0"/>
          <w:numId w:val="1"/>
        </w:numPr>
        <w:shd w:val="clear" w:fill="auto"/>
        <w:spacing w:lineRule="auto" w:line="252" w:before="0" w:after="0"/>
        <w:ind w:hanging="360" w:left="720" w:right="0"/>
        <w:jc w:val="left"/>
        <w:rPr>
          <w:shd w:fill="auto" w:val="clear"/>
        </w:rPr>
      </w:pPr>
      <w:r>
        <w:rPr>
          <w:b w:val="false"/>
          <w:i w:val="false"/>
          <w:caps w:val="false"/>
          <w:smallCaps w:val="false"/>
          <w:strike w:val="false"/>
          <w:dstrike w:val="false"/>
          <w:color w:val="000000"/>
          <w:position w:val="0"/>
          <w:sz w:val="22"/>
          <w:sz w:val="22"/>
          <w:szCs w:val="22"/>
          <w:u w:val="none"/>
          <w:shd w:fill="auto" w:val="clear"/>
          <w:vertAlign w:val="baseline"/>
        </w:rPr>
        <w:t>The 3rd party organisation must clearly be an independent organisation, not a business operated by the tutor/individual being PVG’d</w:t>
      </w:r>
    </w:p>
    <w:p>
      <w:pPr>
        <w:pStyle w:val="normal1"/>
        <w:keepNext w:val="false"/>
        <w:keepLines w:val="false"/>
        <w:pageBreakBefore w:val="false"/>
        <w:widowControl/>
        <w:numPr>
          <w:ilvl w:val="0"/>
          <w:numId w:val="1"/>
        </w:numPr>
        <w:shd w:val="clear" w:fill="auto"/>
        <w:spacing w:lineRule="auto" w:line="252" w:before="0" w:after="0"/>
        <w:ind w:hanging="360" w:left="720" w:right="0"/>
        <w:jc w:val="left"/>
        <w:rPr>
          <w:shd w:fill="auto" w:val="clear"/>
        </w:rPr>
      </w:pPr>
      <w:r>
        <w:rPr>
          <w:b w:val="false"/>
          <w:i w:val="false"/>
          <w:caps w:val="false"/>
          <w:smallCaps w:val="false"/>
          <w:strike w:val="false"/>
          <w:dstrike w:val="false"/>
          <w:color w:val="000000"/>
          <w:position w:val="0"/>
          <w:sz w:val="22"/>
          <w:sz w:val="22"/>
          <w:szCs w:val="22"/>
          <w:u w:val="none"/>
          <w:shd w:fill="auto" w:val="clear"/>
          <w:vertAlign w:val="baseline"/>
        </w:rPr>
        <w:t>The 3rd party organisation must provide written confirmation that they will ensure all tutors have a PVG and the 3rd party organisation will not provide a tutor who is barred from regulated work or is under consideration</w:t>
      </w:r>
    </w:p>
    <w:p>
      <w:pPr>
        <w:pStyle w:val="normal1"/>
        <w:keepNext w:val="false"/>
        <w:keepLines w:val="false"/>
        <w:pageBreakBefore w:val="false"/>
        <w:widowControl/>
        <w:numPr>
          <w:ilvl w:val="0"/>
          <w:numId w:val="1"/>
        </w:numPr>
        <w:shd w:val="clear" w:fill="auto"/>
        <w:spacing w:lineRule="auto" w:line="252" w:before="0" w:after="80"/>
        <w:ind w:hanging="360" w:left="720" w:right="0"/>
        <w:jc w:val="left"/>
        <w:rPr>
          <w:shd w:fill="auto" w:val="clear"/>
        </w:rPr>
      </w:pPr>
      <w:r>
        <w:rPr>
          <w:b w:val="false"/>
          <w:i w:val="false"/>
          <w:caps w:val="false"/>
          <w:smallCaps w:val="false"/>
          <w:strike w:val="false"/>
          <w:dstrike w:val="false"/>
          <w:color w:val="000000"/>
          <w:position w:val="0"/>
          <w:sz w:val="22"/>
          <w:sz w:val="22"/>
          <w:szCs w:val="22"/>
          <w:u w:val="none"/>
          <w:shd w:fill="auto" w:val="clear"/>
          <w:vertAlign w:val="baseline"/>
        </w:rPr>
        <w:t>This arrangement must be agreed with the SMPC PVG lead signatory and SMPC Clubs Coordinator(s).</w:t>
      </w:r>
    </w:p>
    <w:p>
      <w:pPr>
        <w:pStyle w:val="normal1"/>
        <w:spacing w:lineRule="auto" w:line="240" w:before="0" w:after="40"/>
        <w:rPr>
          <w:shd w:fill="auto" w:val="clear"/>
        </w:rPr>
      </w:pPr>
      <w:r>
        <w:rPr>
          <w:shd w:fill="auto" w:val="clear"/>
        </w:rPr>
      </w:r>
    </w:p>
    <w:p>
      <w:pPr>
        <w:pStyle w:val="Heading3"/>
        <w:rPr>
          <w:shd w:fill="auto" w:val="clear"/>
        </w:rPr>
      </w:pPr>
      <w:r>
        <w:rPr>
          <w:shd w:fill="auto" w:val="clear"/>
        </w:rPr>
        <w:t>Notification that an Individual is Barred or Under Consideration</w:t>
      </w:r>
    </w:p>
    <w:p>
      <w:pPr>
        <w:pStyle w:val="normal1"/>
        <w:rPr>
          <w:shd w:fill="auto" w:val="clear"/>
        </w:rPr>
      </w:pPr>
      <w:r>
        <w:rPr>
          <w:shd w:fill="auto" w:val="clear"/>
        </w:rPr>
        <w:t xml:space="preserve">If we are notified that an individual is barred from undertaking a regulated role with children, the individual will not be recruited to, or will be removed from the regulated role.  Our organisation will be committing an offence if we engage or fail to remove someone who is barred from the relevant regulated role.  </w:t>
      </w:r>
    </w:p>
    <w:p>
      <w:pPr>
        <w:pStyle w:val="normal1"/>
        <w:rPr>
          <w:shd w:fill="auto" w:val="clear"/>
        </w:rPr>
      </w:pPr>
      <w:r>
        <w:rPr>
          <w:shd w:fill="auto" w:val="clear"/>
        </w:rPr>
        <w:t>Disclosure Scotland may place a scheme member ‘under consideration for listing’ if they have information that they need to take time to review.  During this time, the member is not barred from regulated work.  If we are notified by Disclosure Scotland that an individual is under consideration for listing, our organisation will take the following action:</w:t>
      </w:r>
    </w:p>
    <w:p>
      <w:pPr>
        <w:pStyle w:val="Heading4"/>
        <w:rPr>
          <w:shd w:fill="auto" w:val="clear"/>
        </w:rPr>
      </w:pPr>
      <w:r>
        <w:rPr>
          <w:shd w:fill="auto" w:val="clear"/>
        </w:rPr>
        <w:t>At Recruitment Stage:</w:t>
      </w:r>
    </w:p>
    <w:p>
      <w:pPr>
        <w:pStyle w:val="normal1"/>
        <w:keepNext w:val="false"/>
        <w:keepLines w:val="false"/>
        <w:pageBreakBefore w:val="false"/>
        <w:widowControl/>
        <w:numPr>
          <w:ilvl w:val="0"/>
          <w:numId w:val="1"/>
        </w:numPr>
        <w:shd w:val="clear" w:fill="auto"/>
        <w:spacing w:lineRule="auto" w:line="252" w:before="0" w:after="80"/>
        <w:ind w:hanging="360" w:left="720" w:right="0"/>
        <w:jc w:val="left"/>
        <w:rPr>
          <w:shd w:fill="auto" w:val="clear"/>
        </w:rPr>
      </w:pPr>
      <w:r>
        <w:rPr>
          <w:b w:val="false"/>
          <w:i w:val="false"/>
          <w:caps w:val="false"/>
          <w:smallCaps w:val="false"/>
          <w:strike w:val="false"/>
          <w:dstrike w:val="false"/>
          <w:color w:val="000000"/>
          <w:position w:val="0"/>
          <w:sz w:val="22"/>
          <w:sz w:val="22"/>
          <w:szCs w:val="22"/>
          <w:u w:val="none"/>
          <w:shd w:fill="auto" w:val="clear"/>
          <w:vertAlign w:val="baseline"/>
        </w:rPr>
        <w:t>Suspend the recruitment decision until the final determination is made</w:t>
      </w:r>
    </w:p>
    <w:p>
      <w:pPr>
        <w:pStyle w:val="Heading4"/>
        <w:rPr>
          <w:shd w:fill="auto" w:val="clear"/>
        </w:rPr>
      </w:pPr>
      <w:r>
        <w:rPr>
          <w:shd w:fill="auto" w:val="clear"/>
        </w:rPr>
        <w:t>As a Result of on-going Monitoring</w:t>
      </w:r>
    </w:p>
    <w:p>
      <w:pPr>
        <w:pStyle w:val="normal1"/>
        <w:keepNext w:val="false"/>
        <w:keepLines w:val="false"/>
        <w:pageBreakBefore w:val="false"/>
        <w:widowControl/>
        <w:numPr>
          <w:ilvl w:val="0"/>
          <w:numId w:val="1"/>
        </w:numPr>
        <w:shd w:val="clear" w:fill="auto"/>
        <w:spacing w:lineRule="auto" w:line="252" w:before="0" w:after="80"/>
        <w:ind w:hanging="360" w:left="720" w:right="0"/>
        <w:jc w:val="left"/>
        <w:rPr>
          <w:shd w:fill="auto" w:val="clear"/>
        </w:rPr>
      </w:pPr>
      <w:r>
        <w:rPr>
          <w:b w:val="false"/>
          <w:i w:val="false"/>
          <w:caps w:val="false"/>
          <w:smallCaps w:val="false"/>
          <w:strike w:val="false"/>
          <w:dstrike w:val="false"/>
          <w:color w:val="000000"/>
          <w:position w:val="0"/>
          <w:sz w:val="22"/>
          <w:sz w:val="22"/>
          <w:szCs w:val="22"/>
          <w:u w:val="none"/>
          <w:shd w:fill="auto" w:val="clear"/>
          <w:vertAlign w:val="baseline"/>
        </w:rPr>
        <w:t>The individual will be suspended until the final determination is made</w:t>
      </w:r>
    </w:p>
    <w:p>
      <w:pPr>
        <w:pStyle w:val="normal1"/>
        <w:rPr>
          <w:shd w:fill="auto" w:val="clear"/>
        </w:rPr>
      </w:pPr>
      <w:r>
        <w:rPr>
          <w:shd w:fill="auto" w:val="clear"/>
        </w:rPr>
        <w:t>This decision will be fully explained in accordance with this policy.</w:t>
      </w:r>
    </w:p>
    <w:p>
      <w:pPr>
        <w:pStyle w:val="normal1"/>
        <w:rPr>
          <w:shd w:fill="auto" w:val="clear"/>
        </w:rPr>
      </w:pPr>
      <w:r>
        <w:rPr>
          <w:shd w:fill="auto" w:val="clear"/>
        </w:rPr>
      </w:r>
    </w:p>
    <w:p>
      <w:pPr>
        <w:pStyle w:val="Heading2"/>
        <w:rPr>
          <w:shd w:fill="auto" w:val="clear"/>
        </w:rPr>
      </w:pPr>
      <w:r>
        <w:rPr>
          <w:shd w:fill="auto" w:val="clear"/>
        </w:rPr>
        <w:t>2. Making Referrals under the PVG Act</w:t>
      </w:r>
    </w:p>
    <w:p>
      <w:pPr>
        <w:pStyle w:val="normal1"/>
        <w:rPr>
          <w:shd w:fill="auto" w:val="clear"/>
        </w:rPr>
      </w:pPr>
      <w:r>
        <w:rPr>
          <w:shd w:fill="auto" w:val="clear"/>
        </w:rPr>
        <w:t>Passing information to Disclosure Scotland is called making a referral.</w:t>
      </w:r>
    </w:p>
    <w:p>
      <w:pPr>
        <w:pStyle w:val="normal1"/>
        <w:rPr>
          <w:shd w:fill="auto" w:val="clear"/>
        </w:rPr>
      </w:pPr>
      <w:r>
        <w:rPr>
          <w:shd w:fill="auto" w:val="clear"/>
        </w:rPr>
        <w:t>Organisations have a legal obligation to pass information to Disclosure Scotland (make a referral) about an unsuitable individual when the individual who has been undertaking a regulated role (paid or volunteering) meets both of the following:</w:t>
      </w:r>
    </w:p>
    <w:p>
      <w:pPr>
        <w:pStyle w:val="normal1"/>
        <w:keepNext w:val="false"/>
        <w:keepLines w:val="false"/>
        <w:pageBreakBefore w:val="false"/>
        <w:widowControl/>
        <w:numPr>
          <w:ilvl w:val="0"/>
          <w:numId w:val="1"/>
        </w:numPr>
        <w:shd w:val="clear" w:fill="auto"/>
        <w:spacing w:lineRule="auto" w:line="252" w:before="0" w:after="0"/>
        <w:ind w:hanging="360" w:left="720" w:right="0"/>
        <w:jc w:val="left"/>
        <w:rPr>
          <w:shd w:fill="auto" w:val="clear"/>
        </w:rPr>
      </w:pPr>
      <w:r>
        <w:rPr>
          <w:b w:val="false"/>
          <w:i w:val="false"/>
          <w:caps w:val="false"/>
          <w:smallCaps w:val="false"/>
          <w:strike w:val="false"/>
          <w:dstrike w:val="false"/>
          <w:color w:val="000000"/>
          <w:position w:val="0"/>
          <w:sz w:val="22"/>
          <w:sz w:val="22"/>
          <w:szCs w:val="22"/>
          <w:u w:val="none"/>
          <w:shd w:fill="auto" w:val="clear"/>
          <w:vertAlign w:val="baseline"/>
        </w:rPr>
        <w:t xml:space="preserve">The individual undertaking a regulated role has done something to harm a child and </w:t>
      </w:r>
    </w:p>
    <w:p>
      <w:pPr>
        <w:pStyle w:val="normal1"/>
        <w:keepNext w:val="false"/>
        <w:keepLines w:val="false"/>
        <w:pageBreakBefore w:val="false"/>
        <w:widowControl/>
        <w:numPr>
          <w:ilvl w:val="0"/>
          <w:numId w:val="1"/>
        </w:numPr>
        <w:shd w:val="clear" w:fill="auto"/>
        <w:spacing w:lineRule="auto" w:line="252" w:before="0" w:after="80"/>
        <w:ind w:hanging="360" w:left="720" w:right="0"/>
        <w:jc w:val="left"/>
        <w:rPr>
          <w:shd w:fill="auto" w:val="clear"/>
        </w:rPr>
      </w:pPr>
      <w:r>
        <w:rPr>
          <w:b w:val="false"/>
          <w:i w:val="false"/>
          <w:caps w:val="false"/>
          <w:smallCaps w:val="false"/>
          <w:strike w:val="false"/>
          <w:dstrike w:val="false"/>
          <w:color w:val="000000"/>
          <w:position w:val="0"/>
          <w:sz w:val="22"/>
          <w:sz w:val="22"/>
          <w:szCs w:val="22"/>
          <w:u w:val="none"/>
          <w:shd w:fill="auto" w:val="clear"/>
          <w:vertAlign w:val="baseline"/>
        </w:rPr>
        <w:t xml:space="preserve">The impact is so serious that the individual is removed from the regulated role </w:t>
      </w:r>
    </w:p>
    <w:p>
      <w:pPr>
        <w:pStyle w:val="normal1"/>
        <w:rPr>
          <w:shd w:fill="auto" w:val="clear"/>
        </w:rPr>
      </w:pPr>
      <w:r>
        <w:rPr>
          <w:shd w:fill="auto" w:val="clear"/>
        </w:rPr>
      </w:r>
    </w:p>
    <w:p>
      <w:pPr>
        <w:pStyle w:val="Heading3"/>
        <w:rPr>
          <w:shd w:fill="auto" w:val="clear"/>
        </w:rPr>
      </w:pPr>
      <w:r>
        <w:rPr>
          <w:shd w:fill="auto" w:val="clear"/>
        </w:rPr>
        <w:t>What do we mean by harm?</w:t>
      </w:r>
    </w:p>
    <w:p>
      <w:pPr>
        <w:pStyle w:val="normal1"/>
        <w:rPr>
          <w:shd w:fill="auto" w:val="clear"/>
        </w:rPr>
      </w:pPr>
      <w:r>
        <w:rPr>
          <w:shd w:fill="auto" w:val="clear"/>
        </w:rPr>
        <w:t>Harm is when an individual who is doing regulated work, does any of the following:</w:t>
      </w:r>
    </w:p>
    <w:p>
      <w:pPr>
        <w:pStyle w:val="normal1"/>
        <w:keepNext w:val="false"/>
        <w:keepLines w:val="false"/>
        <w:pageBreakBefore w:val="false"/>
        <w:widowControl/>
        <w:numPr>
          <w:ilvl w:val="0"/>
          <w:numId w:val="3"/>
        </w:numPr>
        <w:shd w:val="clear" w:fill="auto"/>
        <w:spacing w:lineRule="auto" w:line="252" w:before="0" w:after="0"/>
        <w:ind w:hanging="360" w:left="720" w:right="0"/>
        <w:jc w:val="left"/>
        <w:rPr>
          <w:shd w:fill="auto" w:val="clear"/>
        </w:rPr>
      </w:pPr>
      <w:r>
        <w:rPr>
          <w:b w:val="false"/>
          <w:i w:val="false"/>
          <w:caps w:val="false"/>
          <w:smallCaps w:val="false"/>
          <w:strike w:val="false"/>
          <w:dstrike w:val="false"/>
          <w:color w:val="000000"/>
          <w:position w:val="0"/>
          <w:sz w:val="22"/>
          <w:sz w:val="22"/>
          <w:szCs w:val="22"/>
          <w:u w:val="none"/>
          <w:shd w:fill="auto" w:val="clear"/>
          <w:vertAlign w:val="baseline"/>
        </w:rPr>
        <w:t xml:space="preserve">Harms a child </w:t>
      </w:r>
    </w:p>
    <w:p>
      <w:pPr>
        <w:pStyle w:val="normal1"/>
        <w:keepNext w:val="false"/>
        <w:keepLines w:val="false"/>
        <w:pageBreakBefore w:val="false"/>
        <w:widowControl/>
        <w:numPr>
          <w:ilvl w:val="0"/>
          <w:numId w:val="3"/>
        </w:numPr>
        <w:shd w:val="clear" w:fill="auto"/>
        <w:spacing w:lineRule="auto" w:line="252" w:before="0" w:after="0"/>
        <w:ind w:hanging="360" w:left="720" w:right="0"/>
        <w:jc w:val="left"/>
        <w:rPr>
          <w:shd w:fill="auto" w:val="clear"/>
        </w:rPr>
      </w:pPr>
      <w:r>
        <w:rPr>
          <w:b w:val="false"/>
          <w:i w:val="false"/>
          <w:caps w:val="false"/>
          <w:smallCaps w:val="false"/>
          <w:strike w:val="false"/>
          <w:dstrike w:val="false"/>
          <w:color w:val="000000"/>
          <w:position w:val="0"/>
          <w:sz w:val="22"/>
          <w:sz w:val="22"/>
          <w:szCs w:val="22"/>
          <w:u w:val="none"/>
          <w:shd w:fill="auto" w:val="clear"/>
          <w:vertAlign w:val="baseline"/>
        </w:rPr>
        <w:t>Places a child at risk of harm</w:t>
      </w:r>
    </w:p>
    <w:p>
      <w:pPr>
        <w:pStyle w:val="normal1"/>
        <w:keepNext w:val="false"/>
        <w:keepLines w:val="false"/>
        <w:pageBreakBefore w:val="false"/>
        <w:widowControl/>
        <w:numPr>
          <w:ilvl w:val="0"/>
          <w:numId w:val="3"/>
        </w:numPr>
        <w:shd w:val="clear" w:fill="auto"/>
        <w:spacing w:lineRule="auto" w:line="252" w:before="0" w:after="0"/>
        <w:ind w:hanging="360" w:left="720" w:right="0"/>
        <w:jc w:val="left"/>
        <w:rPr>
          <w:shd w:fill="auto" w:val="clear"/>
        </w:rPr>
      </w:pPr>
      <w:r>
        <w:rPr>
          <w:b w:val="false"/>
          <w:i w:val="false"/>
          <w:caps w:val="false"/>
          <w:smallCaps w:val="false"/>
          <w:strike w:val="false"/>
          <w:dstrike w:val="false"/>
          <w:color w:val="000000"/>
          <w:position w:val="0"/>
          <w:sz w:val="22"/>
          <w:sz w:val="22"/>
          <w:szCs w:val="22"/>
          <w:u w:val="none"/>
          <w:shd w:fill="auto" w:val="clear"/>
          <w:vertAlign w:val="baseline"/>
        </w:rPr>
        <w:t>Engages in inappropriate conduct involving pornography</w:t>
      </w:r>
    </w:p>
    <w:p>
      <w:pPr>
        <w:pStyle w:val="normal1"/>
        <w:keepNext w:val="false"/>
        <w:keepLines w:val="false"/>
        <w:pageBreakBefore w:val="false"/>
        <w:widowControl/>
        <w:numPr>
          <w:ilvl w:val="0"/>
          <w:numId w:val="3"/>
        </w:numPr>
        <w:shd w:val="clear" w:fill="auto"/>
        <w:spacing w:lineRule="auto" w:line="252" w:before="0" w:after="0"/>
        <w:ind w:hanging="360" w:left="720" w:right="0"/>
        <w:jc w:val="left"/>
        <w:rPr>
          <w:shd w:fill="auto" w:val="clear"/>
        </w:rPr>
      </w:pPr>
      <w:r>
        <w:rPr>
          <w:b w:val="false"/>
          <w:i w:val="false"/>
          <w:caps w:val="false"/>
          <w:smallCaps w:val="false"/>
          <w:strike w:val="false"/>
          <w:dstrike w:val="false"/>
          <w:color w:val="000000"/>
          <w:position w:val="0"/>
          <w:sz w:val="22"/>
          <w:sz w:val="22"/>
          <w:szCs w:val="22"/>
          <w:u w:val="none"/>
          <w:shd w:fill="auto" w:val="clear"/>
          <w:vertAlign w:val="baseline"/>
        </w:rPr>
        <w:t>Engages in inappropriate conduct of a sexual nature involving a child</w:t>
      </w:r>
    </w:p>
    <w:p>
      <w:pPr>
        <w:pStyle w:val="normal1"/>
        <w:keepNext w:val="false"/>
        <w:keepLines w:val="false"/>
        <w:pageBreakBefore w:val="false"/>
        <w:widowControl/>
        <w:numPr>
          <w:ilvl w:val="0"/>
          <w:numId w:val="3"/>
        </w:numPr>
        <w:shd w:val="clear" w:fill="auto"/>
        <w:spacing w:lineRule="auto" w:line="252" w:before="0" w:after="80"/>
        <w:ind w:hanging="360" w:left="720" w:right="0"/>
        <w:jc w:val="left"/>
        <w:rPr>
          <w:shd w:fill="auto" w:val="clear"/>
        </w:rPr>
      </w:pPr>
      <w:r>
        <w:rPr>
          <w:b w:val="false"/>
          <w:i w:val="false"/>
          <w:caps w:val="false"/>
          <w:smallCaps w:val="false"/>
          <w:strike w:val="false"/>
          <w:dstrike w:val="false"/>
          <w:color w:val="000000"/>
          <w:position w:val="0"/>
          <w:sz w:val="22"/>
          <w:sz w:val="22"/>
          <w:szCs w:val="22"/>
          <w:u w:val="none"/>
          <w:shd w:fill="auto" w:val="clear"/>
          <w:vertAlign w:val="baseline"/>
        </w:rPr>
        <w:t>Gives inappropriate medical treatment to a child</w:t>
      </w:r>
    </w:p>
    <w:p>
      <w:pPr>
        <w:pStyle w:val="normal1"/>
        <w:keepNext w:val="false"/>
        <w:keepLines w:val="false"/>
        <w:pageBreakBefore w:val="false"/>
        <w:widowControl/>
        <w:shd w:val="clear" w:fill="FFFFFF"/>
        <w:spacing w:lineRule="auto" w:line="240" w:before="0" w:after="0"/>
        <w:ind w:hanging="0" w:left="0" w:right="0"/>
        <w:jc w:val="both"/>
        <w:rPr>
          <w:shd w:fill="auto" w:val="clear"/>
        </w:rPr>
      </w:pPr>
      <w:r>
        <w:rPr>
          <w:b w:val="false"/>
          <w:i w:val="false"/>
          <w:caps w:val="false"/>
          <w:smallCaps w:val="false"/>
          <w:strike w:val="false"/>
          <w:dstrike w:val="false"/>
          <w:color w:val="000000"/>
          <w:position w:val="0"/>
          <w:sz w:val="22"/>
          <w:sz w:val="22"/>
          <w:szCs w:val="22"/>
          <w:u w:val="none"/>
          <w:shd w:fill="auto" w:val="clear"/>
          <w:vertAlign w:val="baseline"/>
        </w:rPr>
        <w:t>This may include behaviour which occurs outwith the person’s work / volunteering with SMPC.</w:t>
      </w:r>
    </w:p>
    <w:p>
      <w:pPr>
        <w:pStyle w:val="normal1"/>
        <w:keepNext w:val="false"/>
        <w:keepLines w:val="false"/>
        <w:pageBreakBefore w:val="false"/>
        <w:widowControl/>
        <w:shd w:val="clear" w:fill="FFFFFF"/>
        <w:spacing w:lineRule="auto" w:line="240" w:before="0" w:after="0"/>
        <w:ind w:hanging="0" w:left="0" w:right="0"/>
        <w:jc w:val="both"/>
        <w:rPr>
          <w:rFonts w:ascii="Calibri" w:hAnsi="Calibri" w:eastAsia="Calibri" w:cs="Calibri"/>
          <w:b w:val="false"/>
          <w:i w:val="false"/>
          <w:i w:val="false"/>
          <w:caps w:val="false"/>
          <w:smallCaps w:val="false"/>
          <w:strike w:val="false"/>
          <w:dstrike w:val="false"/>
          <w:color w:val="000000"/>
          <w:position w:val="0"/>
          <w:sz w:val="22"/>
          <w:sz w:val="22"/>
          <w:szCs w:val="22"/>
          <w:u w:val="none"/>
          <w:shd w:fill="auto" w:val="clear"/>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r>
    </w:p>
    <w:p>
      <w:pPr>
        <w:pStyle w:val="Heading3"/>
        <w:rPr>
          <w:shd w:fill="auto" w:val="clear"/>
        </w:rPr>
      </w:pPr>
      <w:r>
        <w:rPr>
          <w:shd w:fill="auto" w:val="clear"/>
        </w:rPr>
        <w:t>What do we mean by removed?</w:t>
      </w:r>
    </w:p>
    <w:p>
      <w:pPr>
        <w:pStyle w:val="normal1"/>
        <w:keepNext w:val="false"/>
        <w:keepLines w:val="false"/>
        <w:pageBreakBefore w:val="false"/>
        <w:widowControl/>
        <w:numPr>
          <w:ilvl w:val="0"/>
          <w:numId w:val="3"/>
        </w:numPr>
        <w:shd w:val="clear" w:fill="auto"/>
        <w:spacing w:lineRule="auto" w:line="252" w:before="0" w:after="0"/>
        <w:ind w:hanging="360" w:left="720" w:right="0"/>
        <w:jc w:val="left"/>
        <w:rPr>
          <w:shd w:fill="auto" w:val="clear"/>
        </w:rPr>
      </w:pPr>
      <w:r>
        <w:rPr>
          <w:b w:val="false"/>
          <w:i w:val="false"/>
          <w:caps w:val="false"/>
          <w:smallCaps w:val="false"/>
          <w:strike w:val="false"/>
          <w:dstrike w:val="false"/>
          <w:color w:val="000000"/>
          <w:position w:val="0"/>
          <w:sz w:val="22"/>
          <w:sz w:val="22"/>
          <w:szCs w:val="22"/>
          <w:u w:val="none"/>
          <w:shd w:fill="auto" w:val="clear"/>
          <w:vertAlign w:val="baseline"/>
        </w:rPr>
        <w:t>Dismissed the individual from their paid or volunteering position, or</w:t>
      </w:r>
    </w:p>
    <w:p>
      <w:pPr>
        <w:pStyle w:val="normal1"/>
        <w:keepNext w:val="false"/>
        <w:keepLines w:val="false"/>
        <w:pageBreakBefore w:val="false"/>
        <w:widowControl/>
        <w:numPr>
          <w:ilvl w:val="0"/>
          <w:numId w:val="3"/>
        </w:numPr>
        <w:shd w:val="clear" w:fill="auto"/>
        <w:spacing w:lineRule="auto" w:line="252" w:before="0" w:after="0"/>
        <w:ind w:hanging="360" w:left="720" w:right="0"/>
        <w:jc w:val="left"/>
        <w:rPr>
          <w:shd w:fill="auto" w:val="clear"/>
        </w:rPr>
      </w:pPr>
      <w:r>
        <w:rPr>
          <w:b w:val="false"/>
          <w:i w:val="false"/>
          <w:caps w:val="false"/>
          <w:smallCaps w:val="false"/>
          <w:strike w:val="false"/>
          <w:dstrike w:val="false"/>
          <w:color w:val="000000"/>
          <w:position w:val="0"/>
          <w:sz w:val="22"/>
          <w:sz w:val="22"/>
          <w:szCs w:val="22"/>
          <w:u w:val="none"/>
          <w:shd w:fill="auto" w:val="clear"/>
          <w:vertAlign w:val="baseline"/>
        </w:rPr>
        <w:t>Moved the individual to a new paid or volunteering post that is not a regulated role</w:t>
      </w:r>
    </w:p>
    <w:p>
      <w:pPr>
        <w:pStyle w:val="normal1"/>
        <w:keepNext w:val="false"/>
        <w:keepLines w:val="false"/>
        <w:pageBreakBefore w:val="false"/>
        <w:widowControl/>
        <w:numPr>
          <w:ilvl w:val="0"/>
          <w:numId w:val="3"/>
        </w:numPr>
        <w:shd w:val="clear" w:fill="auto"/>
        <w:spacing w:lineRule="auto" w:line="252" w:before="0" w:after="80"/>
        <w:ind w:hanging="360" w:left="720" w:right="0"/>
        <w:jc w:val="left"/>
        <w:rPr>
          <w:shd w:fill="auto" w:val="clear"/>
        </w:rPr>
      </w:pPr>
      <w:r>
        <w:rPr>
          <w:b w:val="false"/>
          <w:i w:val="false"/>
          <w:caps w:val="false"/>
          <w:smallCaps w:val="false"/>
          <w:strike w:val="false"/>
          <w:dstrike w:val="false"/>
          <w:color w:val="000000"/>
          <w:position w:val="0"/>
          <w:sz w:val="22"/>
          <w:sz w:val="22"/>
          <w:szCs w:val="22"/>
          <w:u w:val="none"/>
          <w:shd w:fill="auto" w:val="clear"/>
          <w:vertAlign w:val="baseline"/>
        </w:rPr>
        <w:t>Reached a decision that we would have dismissed or moved someone, had they not already left the organisation</w:t>
      </w:r>
    </w:p>
    <w:p>
      <w:pPr>
        <w:pStyle w:val="normal1"/>
        <w:rPr>
          <w:shd w:fill="auto" w:val="clear"/>
        </w:rPr>
      </w:pPr>
      <w:r>
        <w:rPr>
          <w:shd w:fill="auto" w:val="clear"/>
        </w:rPr>
      </w:r>
    </w:p>
    <w:p>
      <w:pPr>
        <w:pStyle w:val="Heading3"/>
        <w:rPr>
          <w:shd w:fill="auto" w:val="clear"/>
        </w:rPr>
      </w:pPr>
      <w:r>
        <w:rPr>
          <w:shd w:fill="auto" w:val="clear"/>
        </w:rPr>
        <w:t>Policy on making referrals</w:t>
      </w:r>
    </w:p>
    <w:p>
      <w:pPr>
        <w:pStyle w:val="normal1"/>
        <w:rPr>
          <w:shd w:fill="auto" w:val="clear"/>
        </w:rPr>
      </w:pPr>
      <w:r>
        <w:rPr>
          <w:shd w:fill="auto" w:val="clear"/>
        </w:rPr>
        <w:t xml:space="preserve">When a volunteer or tutor is removed from their regulated role by SMPC, the PVG Lead Signatory will consider whether the grounds for making a referral have been met.   </w:t>
      </w:r>
    </w:p>
    <w:p>
      <w:pPr>
        <w:pStyle w:val="normal1"/>
        <w:rPr>
          <w:shd w:fill="auto" w:val="clear"/>
        </w:rPr>
      </w:pPr>
      <w:r>
        <w:rPr>
          <w:shd w:fill="auto" w:val="clear"/>
        </w:rPr>
        <w:t xml:space="preserve">In some cases, information about harmful behaviour comes to light after someone leaves an organisation.  SMPC is legally required to make a referral in these circumstances, even after the person has ceased undertaking a regulated role. </w:t>
      </w:r>
    </w:p>
    <w:p>
      <w:pPr>
        <w:pStyle w:val="normal1"/>
        <w:rPr>
          <w:shd w:fill="auto" w:val="clear"/>
        </w:rPr>
      </w:pPr>
      <w:r>
        <w:rPr>
          <w:shd w:fill="auto" w:val="clear"/>
        </w:rPr>
      </w:r>
    </w:p>
    <w:p>
      <w:pPr>
        <w:pStyle w:val="Heading3"/>
        <w:rPr>
          <w:shd w:fill="auto" w:val="clear"/>
        </w:rPr>
      </w:pPr>
      <w:r>
        <w:rPr>
          <w:shd w:fill="auto" w:val="clear"/>
        </w:rPr>
        <w:t>Process of making referrals</w:t>
      </w:r>
    </w:p>
    <w:p>
      <w:pPr>
        <w:pStyle w:val="normal1"/>
        <w:rPr>
          <w:shd w:fill="auto" w:val="clear"/>
        </w:rPr>
      </w:pPr>
      <w:r>
        <w:rPr>
          <w:shd w:fill="auto" w:val="clear"/>
        </w:rPr>
        <w:t xml:space="preserve">When SMPC is clear that a referral should be made to Disclosure Scotland, we will do so within 3 months.  This is a legal obligation and failure to make a referral to Disclosure Scotland will mean that an offence has been committed. </w:t>
      </w:r>
    </w:p>
    <w:p>
      <w:pPr>
        <w:pStyle w:val="normal1"/>
        <w:rPr>
          <w:shd w:fill="auto" w:val="clear"/>
        </w:rPr>
      </w:pPr>
      <w:r>
        <w:rPr>
          <w:shd w:fill="auto" w:val="clear"/>
        </w:rPr>
        <w:t>It is the responsibility of the PVG Lead Signatory to make such a referral.   The SMPC Chair will deputise for the PVG Lead Signatory in fulfilling this responsibility.  The person making the referral will have the freedom and authority to consult with all relevant people within SMPC in order to obtain the necessary information.  A referral will be made at the end of the investigation process, once the decision has been reached to remove the individual from regulated work.</w:t>
      </w:r>
    </w:p>
    <w:p>
      <w:pPr>
        <w:pStyle w:val="normal1"/>
        <w:rPr>
          <w:shd w:fill="auto" w:val="clear"/>
        </w:rPr>
      </w:pPr>
      <w:r>
        <w:rPr>
          <w:shd w:fill="auto" w:val="clear"/>
        </w:rPr>
        <w:t>The relevant form for making a referral is available on the Disclosure Scotland website.  Their full Guidance on the PVG Act is also on the website and should be consulted, as required.  Advice on making a referral can be sought from Disclosure Scotland.</w:t>
      </w:r>
    </w:p>
    <w:p>
      <w:pPr>
        <w:pStyle w:val="normal1"/>
        <w:rPr>
          <w:shd w:fill="auto" w:val="clear"/>
        </w:rPr>
      </w:pPr>
      <w:r>
        <w:rPr>
          <w:shd w:fill="auto" w:val="clear"/>
        </w:rPr>
      </w:r>
    </w:p>
    <w:p>
      <w:pPr>
        <w:pStyle w:val="normal1"/>
        <w:rPr>
          <w:shd w:fill="auto" w:val="clear"/>
        </w:rPr>
      </w:pPr>
      <w:r>
        <w:rPr>
          <w:shd w:fill="auto" w:val="clear"/>
        </w:rPr>
      </w:r>
    </w:p>
    <w:p>
      <w:pPr>
        <w:pStyle w:val="Heading2"/>
        <w:rPr>
          <w:shd w:fill="auto" w:val="clear"/>
        </w:rPr>
      </w:pPr>
      <w:r>
        <w:rPr>
          <w:shd w:fill="auto" w:val="clear"/>
        </w:rPr>
        <w:t>3. Secure Handling, Use, Storage and Retention of Disclosure Information</w:t>
      </w:r>
    </w:p>
    <w:p>
      <w:pPr>
        <w:pStyle w:val="normal1"/>
        <w:rPr>
          <w:shd w:fill="auto" w:val="clear"/>
        </w:rPr>
      </w:pPr>
      <w:r>
        <w:rPr>
          <w:shd w:fill="auto" w:val="clear"/>
        </w:rPr>
        <w:t>For the purpose of this policy, PVG Scheme Records, PVG Scheme Record Updates, Level 1 and</w:t>
        <w:br/>
        <w:t>Level 2 disclosures will be referred to as Disclosure Records.</w:t>
      </w:r>
    </w:p>
    <w:p>
      <w:pPr>
        <w:pStyle w:val="normal1"/>
        <w:rPr>
          <w:shd w:fill="auto" w:val="clear"/>
        </w:rPr>
      </w:pPr>
      <w:r>
        <w:rPr>
          <w:shd w:fill="auto" w:val="clear"/>
        </w:rPr>
        <w:t>SMPC will ensure that all staff with access to disclosure information are aware of this policy and have received relevant training and support.  SMPC undertakes to make a copy of this policy available to any applicant for a post with SMPC that requires a Disclosure.</w:t>
      </w:r>
    </w:p>
    <w:p>
      <w:pPr>
        <w:pStyle w:val="normal1"/>
        <w:rPr>
          <w:shd w:fill="auto" w:val="clear"/>
        </w:rPr>
      </w:pPr>
      <w:r>
        <w:rPr>
          <w:shd w:fill="auto" w:val="clear"/>
        </w:rPr>
        <w:t>We are enrolled with Volunteer Scotland Disclosure Services to process disclosure checks for the purpose</w:t>
        <w:br/>
        <w:t>of assessing an individual’s suitability for paid and/or unpaid work with us.  This policy has been developed to ensure that we comply with the Scottish Government Code of Practice, for registered persons and other recipients of disclosure information.</w:t>
      </w:r>
    </w:p>
    <w:p>
      <w:pPr>
        <w:pStyle w:val="normal1"/>
        <w:rPr>
          <w:shd w:fill="auto" w:val="clear"/>
        </w:rPr>
      </w:pPr>
      <w:r>
        <w:rPr>
          <w:shd w:fill="auto" w:val="clear"/>
        </w:rPr>
        <w:t>Disclosure records will only be requested when necessary and relevant to a particular role and the</w:t>
        <w:br/>
        <w:t>information provided on a disclosure record will only be used for volunteering/recruitment purposes.</w:t>
      </w:r>
    </w:p>
    <w:p>
      <w:pPr>
        <w:pStyle w:val="normal1"/>
        <w:rPr>
          <w:shd w:fill="auto" w:val="clear"/>
        </w:rPr>
      </w:pPr>
      <w:r>
        <w:rPr>
          <w:shd w:fill="auto" w:val="clear"/>
        </w:rPr>
        <w:t xml:space="preserve">SMPC will ensure that an individual’s consent is given before seeking a disclosure record, and will seek their consent before using disclosure information for any purpose other than recruitment/volunteering. </w:t>
      </w:r>
    </w:p>
    <w:p>
      <w:pPr>
        <w:pStyle w:val="normal1"/>
        <w:rPr>
          <w:shd w:fill="auto" w:val="clear"/>
        </w:rPr>
      </w:pPr>
      <w:r>
        <w:rPr>
          <w:shd w:fill="auto" w:val="clear"/>
        </w:rPr>
        <w:t>Furthermore, SMPC will ensure that all sensitive personal information that is collated for the purposes of obtaining a record will be managed confidentially at all times by those involved in the Disclosure process.</w:t>
        <w:br/>
        <w:t>Disclosure information will only be shared with those authorised to see it in the course of their duties.</w:t>
      </w:r>
    </w:p>
    <w:p>
      <w:pPr>
        <w:pStyle w:val="normal1"/>
        <w:rPr>
          <w:shd w:fill="auto" w:val="clear"/>
        </w:rPr>
      </w:pPr>
      <w:r>
        <w:rPr>
          <w:shd w:fill="auto" w:val="clear"/>
        </w:rPr>
        <w:t>Disclosure information (with the exception of the information required to maintain our Disclosure Tracking Register ) will be deleted/destroyed after it has been disclosed to the relevant person at SMPC.</w:t>
      </w:r>
    </w:p>
    <w:p>
      <w:pPr>
        <w:pStyle w:val="normal1"/>
        <w:rPr>
          <w:shd w:fill="auto" w:val="clear"/>
        </w:rPr>
      </w:pPr>
      <w:r>
        <w:rPr>
          <w:shd w:fill="auto" w:val="clear"/>
        </w:rPr>
      </w:r>
    </w:p>
    <w:p>
      <w:pPr>
        <w:pStyle w:val="Heading2"/>
        <w:rPr>
          <w:shd w:fill="auto" w:val="clear"/>
        </w:rPr>
      </w:pPr>
      <w:r>
        <w:rPr>
          <w:shd w:fill="auto" w:val="clear"/>
        </w:rPr>
        <w:t>4. Covering PVG Costs</w:t>
      </w:r>
    </w:p>
    <w:p>
      <w:pPr>
        <w:pStyle w:val="normal1"/>
        <w:rPr>
          <w:shd w:fill="auto" w:val="clear"/>
        </w:rPr>
      </w:pPr>
      <w:r>
        <w:rPr>
          <w:shd w:fill="auto" w:val="clear"/>
        </w:rPr>
        <w:t xml:space="preserve">There is no cost for registering a PVG for a volunteer. </w:t>
      </w:r>
    </w:p>
    <w:p>
      <w:pPr>
        <w:pStyle w:val="normal1"/>
        <w:rPr>
          <w:shd w:fill="auto" w:val="clear"/>
        </w:rPr>
      </w:pPr>
      <w:r>
        <w:rPr>
          <w:shd w:fill="auto" w:val="clear"/>
        </w:rPr>
        <w:t xml:space="preserve">If a (paid) individual has a PVG, but it has not been registered with SMPC,  there is a small cost.  In this case, SMPC will pay for the registration. </w:t>
      </w:r>
    </w:p>
    <w:p>
      <w:pPr>
        <w:pStyle w:val="normal1"/>
        <w:widowControl/>
        <w:spacing w:lineRule="auto" w:line="252" w:before="0" w:after="80"/>
        <w:jc w:val="left"/>
        <w:rPr>
          <w:shd w:fill="auto" w:val="clear"/>
        </w:rPr>
      </w:pPr>
      <w:bookmarkStart w:id="0" w:name="_ev5rzf3eu074"/>
      <w:bookmarkEnd w:id="0"/>
      <w:r>
        <w:rPr>
          <w:shd w:fill="auto" w:val="clear"/>
        </w:rPr>
        <w:t>If the individual has no PVG certification, then the cost is more significant.  There are two options; a) The tutor pays for the cost of the PVG; b) The club pays for the cost and it is recouped via the fees charged to the club attendees. The club convenor will consult with the SMPC officers to decide the appropriate course of action.</w:t>
      </w:r>
    </w:p>
    <w:sectPr>
      <w:headerReference w:type="even" r:id="rId2"/>
      <w:headerReference w:type="default" r:id="rId3"/>
      <w:headerReference w:type="first" r:id="rId4"/>
      <w:footerReference w:type="even" r:id="rId5"/>
      <w:footerReference w:type="default" r:id="rId6"/>
      <w:footerReference w:type="first" r:id="rId7"/>
      <w:type w:val="nextPage"/>
      <w:pgSz w:w="11906" w:h="16838"/>
      <w:pgMar w:left="1247" w:right="1247" w:gutter="0" w:header="709" w:top="1134" w:footer="709" w:bottom="1134"/>
      <w:pgNumType w:start="1" w:fmt="decimal"/>
      <w:formProt w:val="false"/>
      <w:titlePg/>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Cambria">
    <w:charset w:val="00"/>
    <w:family w:val="roman"/>
    <w:pitch w:val="variable"/>
  </w:font>
  <w:font w:name="Liberation Sans">
    <w:altName w:val="Arial"/>
    <w:charset w:val="00"/>
    <w:family w:val="swiss"/>
    <w:pitch w:val="variable"/>
  </w:font>
  <w:font w:name="Helvetica Neue">
    <w:charset w:val="00"/>
    <w:family w:val="roman"/>
    <w:pitch w:val="variable"/>
  </w:font>
  <w:font w:name="Georgia">
    <w:charset w:val="00"/>
    <w:family w:val="roman"/>
    <w:pitch w:val="variable"/>
  </w:font>
  <w:font w:name="Noto Sans Symbols">
    <w:charset w:val="01"/>
    <w:family w:val="swiss"/>
    <w:pitch w:val="default"/>
  </w:font>
  <w:font w:name="Courier New">
    <w:charset w:val="01"/>
    <w:family w:val="modern"/>
    <w:pitch w:val="fixed"/>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spacing w:before="0" w:after="8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keepNext w:val="false"/>
      <w:keepLines w:val="false"/>
      <w:widowControl w:val="false"/>
      <w:shd w:val="clear" w:fill="auto"/>
      <w:spacing w:lineRule="auto" w:line="276" w:before="0" w:after="0"/>
      <w:ind w:hanging="0" w:left="0" w:right="0"/>
      <w:jc w:val="left"/>
      <w:rPr>
        <w:rFonts w:ascii="Calibri" w:hAnsi="Calibri" w:eastAsia="Calibri" w:cs="Calibri"/>
        <w:b w:val="false"/>
        <w:i w:val="false"/>
        <w:i w:val="false"/>
        <w:caps w:val="false"/>
        <w:smallCaps w:val="false"/>
        <w:strike w:val="false"/>
        <w:dstrike w:val="false"/>
        <w:color w:val="000000"/>
        <w:position w:val="0"/>
        <w:sz w:val="22"/>
        <w:sz w:val="22"/>
        <w:szCs w:val="22"/>
        <w:u w:val="none"/>
        <w:shd w:fill="auto" w:val="clear"/>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r>
  </w:p>
  <w:tbl>
    <w:tblPr>
      <w:tblStyle w:val="Table2"/>
      <w:tblW w:w="10205" w:type="dxa"/>
      <w:jc w:val="left"/>
      <w:tblInd w:w="-534" w:type="dxa"/>
      <w:tblLayout w:type="fixed"/>
      <w:tblCellMar>
        <w:top w:w="0" w:type="dxa"/>
        <w:left w:w="108" w:type="dxa"/>
        <w:bottom w:w="0" w:type="dxa"/>
        <w:right w:w="108" w:type="dxa"/>
      </w:tblCellMar>
      <w:tblLook w:val="0400"/>
    </w:tblPr>
    <w:tblGrid>
      <w:gridCol w:w="1844"/>
      <w:gridCol w:w="2833"/>
      <w:gridCol w:w="3119"/>
      <w:gridCol w:w="2408"/>
    </w:tblGrid>
    <w:tr>
      <w:trPr/>
      <w:tc>
        <w:tcPr>
          <w:tcW w:w="1844" w:type="dxa"/>
          <w:tcBorders>
            <w:right w:val="single" w:sz="4" w:space="0" w:color="5F497A"/>
          </w:tcBorders>
        </w:tcPr>
        <w:p>
          <w:pPr>
            <w:pStyle w:val="normal1"/>
            <w:spacing w:lineRule="auto" w:line="240" w:before="0" w:after="80"/>
            <w:rPr>
              <w:sz w:val="16"/>
              <w:szCs w:val="16"/>
            </w:rPr>
          </w:pPr>
          <w:r>
            <w:rPr/>
            <w:t xml:space="preserve">Visit our Website: </w:t>
          </w:r>
          <w:hyperlink r:id="rId1">
            <w:r>
              <w:rPr>
                <w:rStyle w:val="Style3"/>
                <w:color w:val="0000FF"/>
                <w:sz w:val="16"/>
                <w:szCs w:val="16"/>
                <w:u w:val="single"/>
              </w:rPr>
              <w:t>http://sm-pc.org/</w:t>
            </w:r>
          </w:hyperlink>
        </w:p>
      </w:tc>
      <w:tc>
        <w:tcPr>
          <w:tcW w:w="2833" w:type="dxa"/>
          <w:tcBorders>
            <w:left w:val="single" w:sz="4" w:space="0" w:color="5F497A"/>
            <w:right w:val="single" w:sz="4" w:space="0" w:color="5F497A"/>
          </w:tcBorders>
        </w:tcPr>
        <w:p>
          <w:pPr>
            <w:pStyle w:val="normal1"/>
            <w:widowControl/>
            <w:spacing w:lineRule="auto" w:line="252" w:before="0" w:after="80"/>
            <w:jc w:val="left"/>
            <w:rPr/>
          </w:pPr>
          <w:r>
            <w:rPr/>
            <w:t xml:space="preserve">Follow us on Twitter: </w:t>
          </w:r>
          <w:hyperlink r:id="rId2">
            <w:r>
              <w:rPr>
                <w:rStyle w:val="Style3"/>
                <w:color w:val="0000FF"/>
                <w:sz w:val="16"/>
                <w:szCs w:val="16"/>
                <w:u w:val="single"/>
              </w:rPr>
              <w:t>https://twitter.com/smorningsidepc</w:t>
            </w:r>
          </w:hyperlink>
        </w:p>
      </w:tc>
      <w:tc>
        <w:tcPr>
          <w:tcW w:w="3119" w:type="dxa"/>
          <w:tcBorders>
            <w:left w:val="single" w:sz="4" w:space="0" w:color="5F497A"/>
            <w:right w:val="single" w:sz="4" w:space="0" w:color="5F497A"/>
          </w:tcBorders>
        </w:tcPr>
        <w:p>
          <w:pPr>
            <w:pStyle w:val="normal1"/>
            <w:widowControl/>
            <w:spacing w:lineRule="auto" w:line="252" w:before="0" w:after="80"/>
            <w:jc w:val="left"/>
            <w:rPr/>
          </w:pPr>
          <w:r>
            <w:rPr/>
            <w:t xml:space="preserve">Follow us on Facebook: </w:t>
          </w:r>
          <w:hyperlink r:id="rId3">
            <w:r>
              <w:rPr>
                <w:rStyle w:val="Style3"/>
                <w:color w:val="0000FF"/>
                <w:sz w:val="16"/>
                <w:szCs w:val="16"/>
                <w:u w:val="single"/>
              </w:rPr>
              <w:t>www.facebook.com/southmorningsidepc</w:t>
            </w:r>
          </w:hyperlink>
        </w:p>
      </w:tc>
      <w:tc>
        <w:tcPr>
          <w:tcW w:w="2408" w:type="dxa"/>
          <w:tcBorders>
            <w:left w:val="single" w:sz="4" w:space="0" w:color="5F497A"/>
          </w:tcBorders>
        </w:tcPr>
        <w:p>
          <w:pPr>
            <w:pStyle w:val="normal1"/>
            <w:spacing w:lineRule="auto" w:line="240" w:before="0" w:after="80"/>
            <w:rPr>
              <w:sz w:val="16"/>
              <w:szCs w:val="16"/>
            </w:rPr>
          </w:pPr>
          <w:r>
            <w:rPr/>
            <w:t>Contact us:</w:t>
            <w:br/>
          </w:r>
          <w:hyperlink r:id="rId4">
            <w:r>
              <w:rPr>
                <w:rStyle w:val="Style3"/>
                <w:color w:val="0000FF"/>
                <w:sz w:val="16"/>
                <w:szCs w:val="16"/>
                <w:u w:val="single"/>
              </w:rPr>
              <w:t>chair@sm-pc.org</w:t>
            </w:r>
          </w:hyperlink>
        </w:p>
      </w:tc>
    </w:tr>
  </w:tbl>
  <w:p>
    <w:pPr>
      <w:pStyle w:val="normal1"/>
      <w:keepNext w:val="false"/>
      <w:keepLines w:val="false"/>
      <w:widowControl/>
      <w:shd w:val="clear" w:fill="auto"/>
      <w:tabs>
        <w:tab w:val="clear" w:pos="720"/>
        <w:tab w:val="center" w:pos="4513" w:leader="none"/>
        <w:tab w:val="right" w:pos="9026" w:leader="none"/>
      </w:tabs>
      <w:spacing w:lineRule="auto" w:line="240" w:before="0" w:after="0"/>
      <w:ind w:hanging="0" w:left="0" w:right="0"/>
      <w:jc w:val="left"/>
      <w:rPr>
        <w:rFonts w:ascii="Calibri" w:hAnsi="Calibri" w:eastAsia="Calibri" w:cs="Calibri"/>
        <w:b w:val="false"/>
        <w:i w:val="false"/>
        <w:i w:val="false"/>
        <w:caps w:val="false"/>
        <w:smallCaps w:val="false"/>
        <w:strike w:val="false"/>
        <w:dstrike w:val="false"/>
        <w:color w:val="000000"/>
        <w:position w:val="0"/>
        <w:sz w:val="22"/>
        <w:sz w:val="22"/>
        <w:szCs w:val="22"/>
        <w:u w:val="none"/>
        <w:shd w:fill="auto" w:val="clear"/>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keepNext w:val="false"/>
      <w:keepLines w:val="false"/>
      <w:widowControl/>
      <w:shd w:val="clear" w:fill="auto"/>
      <w:tabs>
        <w:tab w:val="clear" w:pos="720"/>
        <w:tab w:val="center" w:pos="4513" w:leader="none"/>
        <w:tab w:val="right" w:pos="9026" w:leader="none"/>
      </w:tabs>
      <w:spacing w:lineRule="auto" w:line="240" w:before="0" w:after="0"/>
      <w:ind w:hanging="0" w:left="0" w:right="0"/>
      <w:jc w:val="left"/>
      <w:rPr>
        <w:rFonts w:ascii="Calibri" w:hAnsi="Calibri" w:eastAsia="Calibri" w:cs="Calibri"/>
        <w:b w:val="false"/>
        <w:i w:val="false"/>
        <w:i w:val="false"/>
        <w:caps w:val="false"/>
        <w:smallCaps w:val="false"/>
        <w:strike w:val="false"/>
        <w:dstrike w:val="false"/>
        <w:color w:val="000000"/>
        <w:position w:val="0"/>
        <w:sz w:val="22"/>
        <w:sz w:val="22"/>
        <w:szCs w:val="22"/>
        <w:u w:val="none"/>
        <w:shd w:fill="auto" w:val="clear"/>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spacing w:before="0" w:after="80"/>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ing2"/>
      <w:keepNext w:val="true"/>
      <w:keepLines/>
      <w:spacing w:lineRule="auto" w:line="240" w:before="120" w:after="120"/>
      <w:rPr>
        <w:sz w:val="16"/>
        <w:szCs w:val="16"/>
      </w:rPr>
    </w:pPr>
    <w:r>
      <w:rPr/>
      <w:t>SMPC PVG Policy</w:t>
      <w:tab/>
      <w:tab/>
      <w:tab/>
      <w:tab/>
      <w:tab/>
      <w:tab/>
      <w:tab/>
      <w:tab/>
      <w:tab/>
    </w:r>
    <w:r>
      <w:rPr>
        <w:sz w:val="16"/>
        <w:szCs w:val="16"/>
      </w:rPr>
      <w:t>V4.0, 24/05/2025</w:t>
    </w:r>
  </w:p>
  <w:p>
    <w:pPr>
      <w:pStyle w:val="normal1"/>
      <w:keepNext w:val="false"/>
      <w:keepLines w:val="false"/>
      <w:widowControl/>
      <w:shd w:val="clear" w:fill="auto"/>
      <w:tabs>
        <w:tab w:val="clear" w:pos="720"/>
        <w:tab w:val="center" w:pos="4513" w:leader="none"/>
        <w:tab w:val="right" w:pos="9026" w:leader="none"/>
      </w:tabs>
      <w:spacing w:lineRule="auto" w:line="240" w:before="0" w:after="0"/>
      <w:ind w:hanging="0" w:left="0" w:right="0"/>
      <w:jc w:val="left"/>
      <w:rPr>
        <w:rFonts w:ascii="Calibri" w:hAnsi="Calibri" w:eastAsia="Calibri" w:cs="Calibri"/>
        <w:b w:val="false"/>
        <w:i w:val="false"/>
        <w:i w:val="false"/>
        <w:caps w:val="false"/>
        <w:smallCaps w:val="false"/>
        <w:strike w:val="false"/>
        <w:dstrike w:val="false"/>
        <w:color w:val="000000"/>
        <w:position w:val="0"/>
        <w:sz w:val="22"/>
        <w:sz w:val="22"/>
        <w:szCs w:val="22"/>
        <w:u w:val="none"/>
        <w:shd w:fill="auto" w:val="clear"/>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keepNext w:val="false"/>
      <w:keepLines w:val="false"/>
      <w:widowControl w:val="false"/>
      <w:shd w:val="clear" w:fill="auto"/>
      <w:spacing w:lineRule="auto" w:line="276" w:before="0" w:after="0"/>
      <w:ind w:hanging="0" w:left="0" w:right="0"/>
      <w:jc w:val="left"/>
      <w:rPr>
        <w:rFonts w:ascii="Calibri" w:hAnsi="Calibri" w:eastAsia="Calibri" w:cs="Calibri"/>
        <w:b w:val="false"/>
        <w:i w:val="false"/>
        <w:i w:val="false"/>
        <w:caps w:val="false"/>
        <w:smallCaps w:val="false"/>
        <w:strike w:val="false"/>
        <w:dstrike w:val="false"/>
        <w:color w:val="000000"/>
        <w:position w:val="0"/>
        <w:sz w:val="22"/>
        <w:sz w:val="22"/>
        <w:szCs w:val="22"/>
        <w:u w:val="none"/>
        <w:shd w:fill="auto" w:val="clear"/>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r>
  </w:p>
  <w:tbl>
    <w:tblPr>
      <w:tblStyle w:val="Table1"/>
      <w:tblW w:w="9242" w:type="dxa"/>
      <w:jc w:val="left"/>
      <w:tblInd w:w="-217" w:type="dxa"/>
      <w:tblLayout w:type="fixed"/>
      <w:tblCellMar>
        <w:top w:w="0" w:type="dxa"/>
        <w:left w:w="108" w:type="dxa"/>
        <w:bottom w:w="0" w:type="dxa"/>
        <w:right w:w="108" w:type="dxa"/>
      </w:tblCellMar>
      <w:tblLook w:val="0400"/>
    </w:tblPr>
    <w:tblGrid>
      <w:gridCol w:w="2657"/>
      <w:gridCol w:w="853"/>
      <w:gridCol w:w="1560"/>
      <w:gridCol w:w="1134"/>
      <w:gridCol w:w="3038"/>
    </w:tblGrid>
    <w:tr>
      <w:trPr/>
      <w:tc>
        <w:tcPr>
          <w:tcW w:w="3510" w:type="dxa"/>
          <w:gridSpan w:val="2"/>
          <w:tcBorders/>
        </w:tcPr>
        <w:p>
          <w:pPr>
            <w:pStyle w:val="normal1"/>
            <w:tabs>
              <w:tab w:val="clear" w:pos="720"/>
              <w:tab w:val="left" w:pos="1178" w:leader="none"/>
            </w:tabs>
            <w:spacing w:lineRule="auto" w:line="240" w:before="0" w:after="0"/>
            <w:rPr>
              <w:sz w:val="12"/>
              <w:szCs w:val="12"/>
            </w:rPr>
          </w:pPr>
          <w:r>
            <w:rPr/>
            <w:drawing>
              <wp:inline distT="0" distB="0" distL="0" distR="0">
                <wp:extent cx="414655" cy="551815"/>
                <wp:effectExtent l="0" t="0" r="0" b="0"/>
                <wp:docPr id="1" name="image1.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descr=""/>
                        <pic:cNvPicPr>
                          <a:picLocks noChangeAspect="1" noChangeArrowheads="1"/>
                        </pic:cNvPicPr>
                      </pic:nvPicPr>
                      <pic:blipFill>
                        <a:blip r:embed="rId1"/>
                        <a:stretch>
                          <a:fillRect/>
                        </a:stretch>
                      </pic:blipFill>
                      <pic:spPr bwMode="auto">
                        <a:xfrm>
                          <a:off x="0" y="0"/>
                          <a:ext cx="414655" cy="551815"/>
                        </a:xfrm>
                        <a:prstGeom prst="rect">
                          <a:avLst/>
                        </a:prstGeom>
                        <a:noFill/>
                      </pic:spPr>
                    </pic:pic>
                  </a:graphicData>
                </a:graphic>
              </wp:inline>
            </w:drawing>
          </w:r>
        </w:p>
        <w:p>
          <w:pPr>
            <w:pStyle w:val="normal1"/>
            <w:tabs>
              <w:tab w:val="clear" w:pos="720"/>
              <w:tab w:val="left" w:pos="1178" w:leader="none"/>
            </w:tabs>
            <w:spacing w:lineRule="auto" w:line="240" w:before="0" w:after="0"/>
            <w:rPr>
              <w:sz w:val="12"/>
              <w:szCs w:val="12"/>
            </w:rPr>
          </w:pPr>
          <w:r>
            <w:rPr>
              <w:sz w:val="12"/>
              <w:szCs w:val="12"/>
            </w:rPr>
          </w:r>
        </w:p>
        <w:p>
          <w:pPr>
            <w:pStyle w:val="normal1"/>
            <w:tabs>
              <w:tab w:val="clear" w:pos="720"/>
              <w:tab w:val="left" w:pos="1178" w:leader="none"/>
            </w:tabs>
            <w:spacing w:lineRule="auto" w:line="240" w:before="0" w:after="0"/>
            <w:rPr>
              <w:sz w:val="12"/>
              <w:szCs w:val="12"/>
            </w:rPr>
          </w:pPr>
          <w:r>
            <w:rPr>
              <w:sz w:val="12"/>
              <w:szCs w:val="12"/>
            </w:rPr>
          </w:r>
        </w:p>
      </w:tc>
      <w:tc>
        <w:tcPr>
          <w:tcW w:w="1560" w:type="dxa"/>
          <w:tcBorders/>
        </w:tcPr>
        <w:p>
          <w:pPr>
            <w:pStyle w:val="normal1"/>
            <w:tabs>
              <w:tab w:val="clear" w:pos="720"/>
              <w:tab w:val="left" w:pos="1178" w:leader="none"/>
            </w:tabs>
            <w:spacing w:lineRule="auto" w:line="240" w:before="0" w:after="0"/>
            <w:rPr>
              <w:sz w:val="16"/>
              <w:szCs w:val="16"/>
            </w:rPr>
          </w:pPr>
          <w:r>
            <w:rPr>
              <w:sz w:val="16"/>
              <w:szCs w:val="16"/>
            </w:rPr>
          </w:r>
        </w:p>
      </w:tc>
      <w:tc>
        <w:tcPr>
          <w:tcW w:w="4172" w:type="dxa"/>
          <w:gridSpan w:val="2"/>
          <w:tcBorders/>
        </w:tcPr>
        <w:p>
          <w:pPr>
            <w:pStyle w:val="normal1"/>
            <w:spacing w:lineRule="auto" w:line="240" w:before="0" w:after="0"/>
            <w:jc w:val="right"/>
            <w:rPr>
              <w:sz w:val="16"/>
              <w:szCs w:val="16"/>
            </w:rPr>
          </w:pPr>
          <w:r>
            <w:rPr>
              <w:sz w:val="16"/>
              <w:szCs w:val="16"/>
            </w:rPr>
            <w:t>South Morningside Parent Council (SMPC)</w:t>
          </w:r>
        </w:p>
        <w:p>
          <w:pPr>
            <w:pStyle w:val="normal1"/>
            <w:spacing w:lineRule="auto" w:line="240" w:before="0" w:after="0"/>
            <w:jc w:val="right"/>
            <w:rPr>
              <w:sz w:val="16"/>
              <w:szCs w:val="16"/>
            </w:rPr>
          </w:pPr>
          <w:r>
            <w:rPr>
              <w:sz w:val="16"/>
              <w:szCs w:val="16"/>
            </w:rPr>
            <w:t>C/O South Morningside Primary School</w:t>
          </w:r>
        </w:p>
        <w:p>
          <w:pPr>
            <w:pStyle w:val="normal1"/>
            <w:spacing w:lineRule="auto" w:line="240" w:before="0" w:after="0"/>
            <w:jc w:val="right"/>
            <w:rPr>
              <w:sz w:val="16"/>
              <w:szCs w:val="16"/>
            </w:rPr>
          </w:pPr>
          <w:r>
            <w:rPr>
              <w:sz w:val="16"/>
              <w:szCs w:val="16"/>
            </w:rPr>
            <w:t>Comiston Road</w:t>
          </w:r>
        </w:p>
        <w:p>
          <w:pPr>
            <w:pStyle w:val="normal1"/>
            <w:spacing w:lineRule="auto" w:line="240" w:before="0" w:after="0"/>
            <w:jc w:val="right"/>
            <w:rPr>
              <w:sz w:val="16"/>
              <w:szCs w:val="16"/>
            </w:rPr>
          </w:pPr>
          <w:r>
            <w:rPr>
              <w:sz w:val="16"/>
              <w:szCs w:val="16"/>
            </w:rPr>
            <w:t>Edinburgh</w:t>
          </w:r>
        </w:p>
        <w:p>
          <w:pPr>
            <w:pStyle w:val="normal1"/>
            <w:spacing w:lineRule="auto" w:line="240" w:before="0" w:after="0"/>
            <w:jc w:val="right"/>
            <w:rPr>
              <w:sz w:val="16"/>
              <w:szCs w:val="16"/>
            </w:rPr>
          </w:pPr>
          <w:r>
            <w:rPr>
              <w:sz w:val="16"/>
              <w:szCs w:val="16"/>
            </w:rPr>
            <w:t>EH10 5QN</w:t>
          </w:r>
        </w:p>
      </w:tc>
    </w:tr>
    <w:tr>
      <w:trPr/>
      <w:tc>
        <w:tcPr>
          <w:tcW w:w="2657" w:type="dxa"/>
          <w:tcBorders>
            <w:bottom w:val="single" w:sz="4" w:space="0" w:color="000000"/>
          </w:tcBorders>
          <w:vAlign w:val="center"/>
        </w:tcPr>
        <w:p>
          <w:pPr>
            <w:pStyle w:val="normal1"/>
            <w:tabs>
              <w:tab w:val="clear" w:pos="720"/>
              <w:tab w:val="left" w:pos="1178" w:leader="none"/>
            </w:tabs>
            <w:spacing w:lineRule="auto" w:line="240" w:before="0" w:after="0"/>
            <w:rPr>
              <w:b/>
              <w:sz w:val="8"/>
              <w:szCs w:val="8"/>
            </w:rPr>
          </w:pPr>
          <w:r>
            <w:rPr>
              <w:b/>
              <w:sz w:val="8"/>
              <w:szCs w:val="8"/>
            </w:rPr>
          </w:r>
        </w:p>
      </w:tc>
      <w:tc>
        <w:tcPr>
          <w:tcW w:w="3547" w:type="dxa"/>
          <w:gridSpan w:val="3"/>
          <w:tcBorders>
            <w:bottom w:val="single" w:sz="4" w:space="0" w:color="000000"/>
          </w:tcBorders>
          <w:vAlign w:val="center"/>
        </w:tcPr>
        <w:p>
          <w:pPr>
            <w:pStyle w:val="normal1"/>
            <w:tabs>
              <w:tab w:val="clear" w:pos="720"/>
              <w:tab w:val="left" w:pos="1178" w:leader="none"/>
            </w:tabs>
            <w:spacing w:lineRule="auto" w:line="240" w:before="0" w:after="0"/>
            <w:jc w:val="center"/>
            <w:rPr>
              <w:b/>
              <w:sz w:val="8"/>
              <w:szCs w:val="8"/>
            </w:rPr>
          </w:pPr>
          <w:r>
            <w:rPr>
              <w:b/>
              <w:sz w:val="8"/>
              <w:szCs w:val="8"/>
            </w:rPr>
          </w:r>
        </w:p>
      </w:tc>
      <w:tc>
        <w:tcPr>
          <w:tcW w:w="3038" w:type="dxa"/>
          <w:tcBorders>
            <w:bottom w:val="single" w:sz="4" w:space="0" w:color="000000"/>
          </w:tcBorders>
          <w:vAlign w:val="center"/>
        </w:tcPr>
        <w:p>
          <w:pPr>
            <w:pStyle w:val="normal1"/>
            <w:tabs>
              <w:tab w:val="clear" w:pos="720"/>
              <w:tab w:val="left" w:pos="1178" w:leader="none"/>
            </w:tabs>
            <w:spacing w:lineRule="auto" w:line="240" w:before="0" w:after="0"/>
            <w:jc w:val="right"/>
            <w:rPr>
              <w:b/>
              <w:sz w:val="8"/>
              <w:szCs w:val="8"/>
            </w:rPr>
          </w:pPr>
          <w:r>
            <w:rPr>
              <w:b/>
              <w:sz w:val="8"/>
              <w:szCs w:val="8"/>
            </w:rPr>
          </w:r>
        </w:p>
      </w:tc>
    </w:tr>
  </w:tbl>
  <w:p>
    <w:pPr>
      <w:pStyle w:val="normal1"/>
      <w:keepNext w:val="false"/>
      <w:keepLines w:val="false"/>
      <w:widowControl/>
      <w:shd w:val="clear" w:fill="auto"/>
      <w:tabs>
        <w:tab w:val="clear" w:pos="720"/>
        <w:tab w:val="center" w:pos="4513" w:leader="none"/>
        <w:tab w:val="right" w:pos="9026" w:leader="none"/>
      </w:tabs>
      <w:spacing w:lineRule="auto" w:line="240" w:before="0" w:after="0"/>
      <w:ind w:hanging="0" w:left="0" w:right="0"/>
      <w:jc w:val="left"/>
      <w:rPr>
        <w:rFonts w:ascii="Calibri" w:hAnsi="Calibri" w:eastAsia="Calibri" w:cs="Calibri"/>
        <w:b w:val="false"/>
        <w:i w:val="false"/>
        <w:i w:val="false"/>
        <w:caps w:val="false"/>
        <w:smallCaps w:val="false"/>
        <w:strike w:val="false"/>
        <w:dstrike w:val="false"/>
        <w:color w:val="000000"/>
        <w:position w:val="0"/>
        <w:sz w:val="22"/>
        <w:sz w:val="22"/>
        <w:szCs w:val="22"/>
        <w:u w:val="none"/>
        <w:shd w:fill="auto" w:val="clear"/>
        <w:vertAlign w:val="baseline"/>
      </w:rPr>
    </w:pPr>
    <w:r>
      <w:rPr>
        <w:rFonts w:eastAsia="Calibri" w:cs="Calibri"/>
        <w:b w:val="false"/>
        <w:i w:val="false"/>
        <w:caps w:val="false"/>
        <w:smallCaps w:val="false"/>
        <w:strike w:val="false"/>
        <w:dstrike w:val="false"/>
        <w:color w:val="000000"/>
        <w:position w:val="0"/>
        <w:sz w:val="22"/>
        <w:sz w:val="22"/>
        <w:szCs w:val="22"/>
        <w:u w:val="none"/>
        <w:shd w:fill="auto" w:val="clear"/>
        <w:vertAlign w:val="baseline"/>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720" w:hanging="360"/>
      </w:pPr>
      <w:rPr>
        <w:rFonts w:ascii="Noto Sans Symbols" w:hAnsi="Noto Sans Symbols" w:cs="Noto Sans Symbol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Noto Sans Symbols" w:hAnsi="Noto Sans Symbols" w:cs="Noto Sans Symbols" w:hint="default"/>
      </w:rPr>
    </w:lvl>
    <w:lvl w:ilvl="3">
      <w:start w:val="1"/>
      <w:numFmt w:val="bullet"/>
      <w:lvlText w:val="●"/>
      <w:lvlJc w:val="left"/>
      <w:pPr>
        <w:tabs>
          <w:tab w:val="num" w:pos="0"/>
        </w:tabs>
        <w:ind w:left="2880" w:hanging="360"/>
      </w:pPr>
      <w:rPr>
        <w:rFonts w:ascii="Noto Sans Symbols" w:hAnsi="Noto Sans Symbols" w:cs="Noto Sans Symbols"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Noto Sans Symbols" w:hAnsi="Noto Sans Symbols" w:cs="Noto Sans Symbols" w:hint="default"/>
      </w:rPr>
    </w:lvl>
    <w:lvl w:ilvl="6">
      <w:start w:val="1"/>
      <w:numFmt w:val="bullet"/>
      <w:lvlText w:val="●"/>
      <w:lvlJc w:val="left"/>
      <w:pPr>
        <w:tabs>
          <w:tab w:val="num" w:pos="0"/>
        </w:tabs>
        <w:ind w:left="5040" w:hanging="360"/>
      </w:pPr>
      <w:rPr>
        <w:rFonts w:ascii="Noto Sans Symbols" w:hAnsi="Noto Sans Symbols" w:cs="Noto Sans Symbols"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Noto Sans Symbols" w:hAnsi="Noto Sans Symbols" w:cs="Noto Sans Symbols" w:hint="default"/>
      </w:rPr>
    </w:lvl>
  </w:abstractNum>
  <w:abstractNum w:abstractNumId="2">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3">
    <w:lvl w:ilvl="0">
      <w:start w:val="1"/>
      <w:numFmt w:val="bullet"/>
      <w:lvlText w:val="●"/>
      <w:lvlJc w:val="left"/>
      <w:pPr>
        <w:tabs>
          <w:tab w:val="num" w:pos="0"/>
        </w:tabs>
        <w:ind w:left="720" w:hanging="360"/>
      </w:pPr>
      <w:rPr>
        <w:rFonts w:ascii="Noto Sans Symbols" w:hAnsi="Noto Sans Symbols" w:cs="Noto Sans Symbol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Noto Sans Symbols" w:hAnsi="Noto Sans Symbols" w:cs="Noto Sans Symbols" w:hint="default"/>
      </w:rPr>
    </w:lvl>
    <w:lvl w:ilvl="3">
      <w:start w:val="1"/>
      <w:numFmt w:val="bullet"/>
      <w:lvlText w:val="●"/>
      <w:lvlJc w:val="left"/>
      <w:pPr>
        <w:tabs>
          <w:tab w:val="num" w:pos="0"/>
        </w:tabs>
        <w:ind w:left="2880" w:hanging="360"/>
      </w:pPr>
      <w:rPr>
        <w:rFonts w:ascii="Noto Sans Symbols" w:hAnsi="Noto Sans Symbols" w:cs="Noto Sans Symbols"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Noto Sans Symbols" w:hAnsi="Noto Sans Symbols" w:cs="Noto Sans Symbols" w:hint="default"/>
      </w:rPr>
    </w:lvl>
    <w:lvl w:ilvl="6">
      <w:start w:val="1"/>
      <w:numFmt w:val="bullet"/>
      <w:lvlText w:val="●"/>
      <w:lvlJc w:val="left"/>
      <w:pPr>
        <w:tabs>
          <w:tab w:val="num" w:pos="0"/>
        </w:tabs>
        <w:ind w:left="5040" w:hanging="360"/>
      </w:pPr>
      <w:rPr>
        <w:rFonts w:ascii="Noto Sans Symbols" w:hAnsi="Noto Sans Symbols" w:cs="Noto Sans Symbols"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Noto Sans Symbols" w:hAnsi="Noto Sans Symbols" w:cs="Noto Sans Symbols" w:hint="default"/>
      </w:rPr>
    </w:lvl>
  </w:abstractNum>
  <w:abstractNum w:abstractNumId="4">
    <w:lvl w:ilvl="0">
      <w:start w:val="1"/>
      <w:numFmt w:val="bullet"/>
      <w:lvlText w:val="●"/>
      <w:lvlJc w:val="left"/>
      <w:pPr>
        <w:tabs>
          <w:tab w:val="num" w:pos="0"/>
        </w:tabs>
        <w:ind w:left="720" w:hanging="360"/>
      </w:pPr>
      <w:rPr>
        <w:rFonts w:ascii="Noto Sans Symbols" w:hAnsi="Noto Sans Symbols" w:cs="Noto Sans Symbols" w:hint="default"/>
      </w:rPr>
    </w:lvl>
    <w:lvl w:ilvl="1">
      <w:start w:val="1"/>
      <w:numFmt w:val="bullet"/>
      <w:lvlText w:val="●"/>
      <w:lvlJc w:val="left"/>
      <w:pPr>
        <w:tabs>
          <w:tab w:val="num" w:pos="0"/>
        </w:tabs>
        <w:ind w:left="1080" w:hanging="360"/>
      </w:pPr>
      <w:rPr>
        <w:rFonts w:ascii="Noto Sans Symbols" w:hAnsi="Noto Sans Symbols" w:cs="Noto Sans Symbols" w:hint="default"/>
      </w:rPr>
    </w:lvl>
    <w:lvl w:ilvl="2">
      <w:start w:val="1"/>
      <w:numFmt w:val="bullet"/>
      <w:lvlText w:val="●"/>
      <w:lvlJc w:val="left"/>
      <w:pPr>
        <w:tabs>
          <w:tab w:val="num" w:pos="0"/>
        </w:tabs>
        <w:ind w:left="1440" w:hanging="360"/>
      </w:pPr>
      <w:rPr>
        <w:rFonts w:ascii="Noto Sans Symbols" w:hAnsi="Noto Sans Symbols" w:cs="Noto Sans Symbols" w:hint="default"/>
      </w:rPr>
    </w:lvl>
    <w:lvl w:ilvl="3">
      <w:start w:val="1"/>
      <w:numFmt w:val="bullet"/>
      <w:lvlText w:val="●"/>
      <w:lvlJc w:val="left"/>
      <w:pPr>
        <w:tabs>
          <w:tab w:val="num" w:pos="0"/>
        </w:tabs>
        <w:ind w:left="1800" w:hanging="360"/>
      </w:pPr>
      <w:rPr>
        <w:rFonts w:ascii="Noto Sans Symbols" w:hAnsi="Noto Sans Symbols" w:cs="Noto Sans Symbols" w:hint="default"/>
      </w:rPr>
    </w:lvl>
    <w:lvl w:ilvl="4">
      <w:start w:val="1"/>
      <w:numFmt w:val="bullet"/>
      <w:lvlText w:val="●"/>
      <w:lvlJc w:val="left"/>
      <w:pPr>
        <w:tabs>
          <w:tab w:val="num" w:pos="0"/>
        </w:tabs>
        <w:ind w:left="2160" w:hanging="360"/>
      </w:pPr>
      <w:rPr>
        <w:rFonts w:ascii="Noto Sans Symbols" w:hAnsi="Noto Sans Symbols" w:cs="Noto Sans Symbols" w:hint="default"/>
      </w:rPr>
    </w:lvl>
    <w:lvl w:ilvl="5">
      <w:start w:val="1"/>
      <w:numFmt w:val="bullet"/>
      <w:lvlText w:val="●"/>
      <w:lvlJc w:val="left"/>
      <w:pPr>
        <w:tabs>
          <w:tab w:val="num" w:pos="0"/>
        </w:tabs>
        <w:ind w:left="2520" w:hanging="360"/>
      </w:pPr>
      <w:rPr>
        <w:rFonts w:ascii="Noto Sans Symbols" w:hAnsi="Noto Sans Symbols" w:cs="Noto Sans Symbols" w:hint="default"/>
      </w:rPr>
    </w:lvl>
    <w:lvl w:ilvl="6">
      <w:start w:val="1"/>
      <w:numFmt w:val="bullet"/>
      <w:lvlText w:val="●"/>
      <w:lvlJc w:val="left"/>
      <w:pPr>
        <w:tabs>
          <w:tab w:val="num" w:pos="0"/>
        </w:tabs>
        <w:ind w:left="2880" w:hanging="360"/>
      </w:pPr>
      <w:rPr>
        <w:rFonts w:ascii="Noto Sans Symbols" w:hAnsi="Noto Sans Symbols" w:cs="Noto Sans Symbols" w:hint="default"/>
      </w:rPr>
    </w:lvl>
    <w:lvl w:ilvl="7">
      <w:start w:val="1"/>
      <w:numFmt w:val="bullet"/>
      <w:lvlText w:val="●"/>
      <w:lvlJc w:val="left"/>
      <w:pPr>
        <w:tabs>
          <w:tab w:val="num" w:pos="0"/>
        </w:tabs>
        <w:ind w:left="3240" w:hanging="360"/>
      </w:pPr>
      <w:rPr>
        <w:rFonts w:ascii="Noto Sans Symbols" w:hAnsi="Noto Sans Symbols" w:cs="Noto Sans Symbols" w:hint="default"/>
      </w:rPr>
    </w:lvl>
    <w:lvl w:ilvl="8">
      <w:start w:val="1"/>
      <w:numFmt w:val="bullet"/>
      <w:lvlText w:val="●"/>
      <w:lvlJc w:val="left"/>
      <w:pPr>
        <w:tabs>
          <w:tab w:val="num" w:pos="0"/>
        </w:tabs>
        <w:ind w:left="3600" w:hanging="360"/>
      </w:pPr>
      <w:rPr>
        <w:rFonts w:ascii="Noto Sans Symbols" w:hAnsi="Noto Sans Symbols" w:cs="Noto Sans Symbols" w:hint="default"/>
      </w:rPr>
    </w:lvl>
  </w:abstractNum>
  <w:abstractNum w:abstractNumId="5">
    <w:lvl w:ilvl="0">
      <w:start w:val="1"/>
      <w:numFmt w:val="bullet"/>
      <w:lvlText w:val="●"/>
      <w:lvlJc w:val="left"/>
      <w:pPr>
        <w:tabs>
          <w:tab w:val="num" w:pos="0"/>
        </w:tabs>
        <w:ind w:left="720" w:hanging="360"/>
      </w:pPr>
      <w:rPr>
        <w:rFonts w:ascii="Noto Sans Symbols" w:hAnsi="Noto Sans Symbols" w:cs="Noto Sans Symbols" w:hint="default"/>
      </w:rPr>
    </w:lvl>
    <w:lvl w:ilvl="1">
      <w:start w:val="1"/>
      <w:numFmt w:val="bullet"/>
      <w:lvlText w:val="●"/>
      <w:lvlJc w:val="left"/>
      <w:pPr>
        <w:tabs>
          <w:tab w:val="num" w:pos="0"/>
        </w:tabs>
        <w:ind w:left="1080" w:hanging="360"/>
      </w:pPr>
      <w:rPr>
        <w:rFonts w:ascii="Noto Sans Symbols" w:hAnsi="Noto Sans Symbols" w:cs="Noto Sans Symbols" w:hint="default"/>
      </w:rPr>
    </w:lvl>
    <w:lvl w:ilvl="2">
      <w:start w:val="1"/>
      <w:numFmt w:val="bullet"/>
      <w:lvlText w:val="●"/>
      <w:lvlJc w:val="left"/>
      <w:pPr>
        <w:tabs>
          <w:tab w:val="num" w:pos="0"/>
        </w:tabs>
        <w:ind w:left="1440" w:hanging="360"/>
      </w:pPr>
      <w:rPr>
        <w:rFonts w:ascii="Noto Sans Symbols" w:hAnsi="Noto Sans Symbols" w:cs="Noto Sans Symbols" w:hint="default"/>
      </w:rPr>
    </w:lvl>
    <w:lvl w:ilvl="3">
      <w:start w:val="1"/>
      <w:numFmt w:val="bullet"/>
      <w:lvlText w:val="●"/>
      <w:lvlJc w:val="left"/>
      <w:pPr>
        <w:tabs>
          <w:tab w:val="num" w:pos="0"/>
        </w:tabs>
        <w:ind w:left="1800" w:hanging="360"/>
      </w:pPr>
      <w:rPr>
        <w:rFonts w:ascii="Noto Sans Symbols" w:hAnsi="Noto Sans Symbols" w:cs="Noto Sans Symbols" w:hint="default"/>
      </w:rPr>
    </w:lvl>
    <w:lvl w:ilvl="4">
      <w:start w:val="1"/>
      <w:numFmt w:val="bullet"/>
      <w:lvlText w:val="●"/>
      <w:lvlJc w:val="left"/>
      <w:pPr>
        <w:tabs>
          <w:tab w:val="num" w:pos="0"/>
        </w:tabs>
        <w:ind w:left="2160" w:hanging="360"/>
      </w:pPr>
      <w:rPr>
        <w:rFonts w:ascii="Noto Sans Symbols" w:hAnsi="Noto Sans Symbols" w:cs="Noto Sans Symbols" w:hint="default"/>
      </w:rPr>
    </w:lvl>
    <w:lvl w:ilvl="5">
      <w:start w:val="1"/>
      <w:numFmt w:val="bullet"/>
      <w:lvlText w:val="●"/>
      <w:lvlJc w:val="left"/>
      <w:pPr>
        <w:tabs>
          <w:tab w:val="num" w:pos="0"/>
        </w:tabs>
        <w:ind w:left="2520" w:hanging="360"/>
      </w:pPr>
      <w:rPr>
        <w:rFonts w:ascii="Noto Sans Symbols" w:hAnsi="Noto Sans Symbols" w:cs="Noto Sans Symbols" w:hint="default"/>
      </w:rPr>
    </w:lvl>
    <w:lvl w:ilvl="6">
      <w:start w:val="1"/>
      <w:numFmt w:val="bullet"/>
      <w:lvlText w:val="●"/>
      <w:lvlJc w:val="left"/>
      <w:pPr>
        <w:tabs>
          <w:tab w:val="num" w:pos="0"/>
        </w:tabs>
        <w:ind w:left="2880" w:hanging="360"/>
      </w:pPr>
      <w:rPr>
        <w:rFonts w:ascii="Noto Sans Symbols" w:hAnsi="Noto Sans Symbols" w:cs="Noto Sans Symbols" w:hint="default"/>
      </w:rPr>
    </w:lvl>
    <w:lvl w:ilvl="7">
      <w:start w:val="1"/>
      <w:numFmt w:val="bullet"/>
      <w:lvlText w:val="●"/>
      <w:lvlJc w:val="left"/>
      <w:pPr>
        <w:tabs>
          <w:tab w:val="num" w:pos="0"/>
        </w:tabs>
        <w:ind w:left="3240" w:hanging="360"/>
      </w:pPr>
      <w:rPr>
        <w:rFonts w:ascii="Noto Sans Symbols" w:hAnsi="Noto Sans Symbols" w:cs="Noto Sans Symbols" w:hint="default"/>
      </w:rPr>
    </w:lvl>
    <w:lvl w:ilvl="8">
      <w:start w:val="1"/>
      <w:numFmt w:val="bullet"/>
      <w:lvlText w:val="●"/>
      <w:lvlJc w:val="left"/>
      <w:pPr>
        <w:tabs>
          <w:tab w:val="num" w:pos="0"/>
        </w:tabs>
        <w:ind w:left="3600" w:hanging="360"/>
      </w:pPr>
      <w:rPr>
        <w:rFonts w:ascii="Noto Sans Symbols" w:hAnsi="Noto Sans Symbols" w:cs="Noto Sans Symbols" w:hint="default"/>
      </w:rPr>
    </w:lvl>
  </w:abstractNum>
  <w:abstractNum w:abstractNumId="6">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Calibri"/>
        <w:sz w:val="22"/>
        <w:szCs w:val="22"/>
        <w:lang w:val="en-GB" w:eastAsia="zh-CN" w:bidi="hi-IN"/>
      </w:rPr>
    </w:rPrDefault>
    <w:pPrDefault>
      <w:pPr>
        <w:suppressAutoHyphens w:val="true"/>
      </w:pPr>
    </w:pPrDefault>
  </w:docDefaults>
  <w:style w:type="paragraph" w:styleId="Normal">
    <w:name w:val="Normal"/>
    <w:qFormat/>
    <w:pPr>
      <w:widowControl/>
      <w:bidi w:val="0"/>
      <w:spacing w:lineRule="auto" w:line="252" w:before="0" w:after="80"/>
      <w:jc w:val="left"/>
    </w:pPr>
    <w:rPr>
      <w:rFonts w:ascii="Calibri" w:hAnsi="Calibri" w:eastAsia="Calibri" w:cs="Calibri"/>
      <w:color w:val="auto"/>
      <w:kern w:val="0"/>
      <w:sz w:val="22"/>
      <w:szCs w:val="22"/>
      <w:lang w:val="en-GB" w:eastAsia="zh-CN" w:bidi="hi-IN"/>
    </w:rPr>
  </w:style>
  <w:style w:type="paragraph" w:styleId="Heading1">
    <w:name w:val="heading 1"/>
    <w:basedOn w:val="normal1"/>
    <w:next w:val="normal1"/>
    <w:qFormat/>
    <w:pPr>
      <w:keepNext w:val="true"/>
      <w:keepLines/>
      <w:spacing w:lineRule="auto" w:line="240" w:before="480" w:after="0"/>
    </w:pPr>
    <w:rPr>
      <w:rFonts w:ascii="Cambria" w:hAnsi="Cambria" w:eastAsia="Cambria" w:cs="Cambria"/>
      <w:b/>
      <w:color w:val="366091"/>
      <w:sz w:val="28"/>
      <w:szCs w:val="28"/>
    </w:rPr>
  </w:style>
  <w:style w:type="paragraph" w:styleId="Heading2">
    <w:name w:val="heading 2"/>
    <w:basedOn w:val="normal1"/>
    <w:next w:val="normal1"/>
    <w:qFormat/>
    <w:pPr>
      <w:keepNext w:val="true"/>
      <w:keepLines/>
      <w:spacing w:lineRule="auto" w:line="240" w:before="120" w:after="120"/>
    </w:pPr>
    <w:rPr>
      <w:rFonts w:ascii="Cambria" w:hAnsi="Cambria" w:eastAsia="Cambria" w:cs="Cambria"/>
      <w:b/>
      <w:color w:val="4F81BD"/>
      <w:sz w:val="26"/>
      <w:szCs w:val="26"/>
    </w:rPr>
  </w:style>
  <w:style w:type="paragraph" w:styleId="Heading3">
    <w:name w:val="heading 3"/>
    <w:basedOn w:val="normal1"/>
    <w:next w:val="normal1"/>
    <w:qFormat/>
    <w:pPr>
      <w:keepNext w:val="true"/>
      <w:keepLines/>
      <w:spacing w:lineRule="auto" w:line="240" w:before="120" w:after="120"/>
    </w:pPr>
    <w:rPr>
      <w:rFonts w:ascii="Calibri" w:hAnsi="Calibri" w:eastAsia="Calibri" w:cs="Calibri"/>
      <w:b/>
      <w:color w:val="000000"/>
    </w:rPr>
  </w:style>
  <w:style w:type="paragraph" w:styleId="Heading4">
    <w:name w:val="heading 4"/>
    <w:basedOn w:val="normal1"/>
    <w:next w:val="normal1"/>
    <w:qFormat/>
    <w:pPr>
      <w:keepNext w:val="true"/>
      <w:keepLines/>
      <w:spacing w:lineRule="auto" w:line="240" w:before="40" w:after="0"/>
    </w:pPr>
    <w:rPr>
      <w:rFonts w:ascii="Cambria" w:hAnsi="Cambria" w:eastAsia="Cambria" w:cs="Cambria"/>
      <w:i/>
      <w:color w:val="366091"/>
    </w:rPr>
  </w:style>
  <w:style w:type="paragraph" w:styleId="Heading5">
    <w:name w:val="heading 5"/>
    <w:basedOn w:val="normal1"/>
    <w:next w:val="normal1"/>
    <w:qFormat/>
    <w:pPr>
      <w:keepNext w:val="true"/>
      <w:keepLines/>
      <w:pageBreakBefore w:val="false"/>
      <w:spacing w:lineRule="auto" w:line="240" w:before="220" w:after="40"/>
    </w:pPr>
    <w:rPr>
      <w:b/>
      <w:sz w:val="22"/>
      <w:szCs w:val="22"/>
    </w:rPr>
  </w:style>
  <w:style w:type="paragraph" w:styleId="Heading6">
    <w:name w:val="heading 6"/>
    <w:basedOn w:val="normal1"/>
    <w:next w:val="normal1"/>
    <w:qFormat/>
    <w:pPr>
      <w:keepNext w:val="true"/>
      <w:keepLines/>
      <w:pageBreakBefore w:val="false"/>
      <w:spacing w:lineRule="auto" w:line="240" w:before="200" w:after="40"/>
    </w:pPr>
    <w:rPr>
      <w:b/>
      <w:sz w:val="20"/>
      <w:szCs w:val="20"/>
    </w:rPr>
  </w:style>
  <w:style w:type="character" w:styleId="Hyperlink">
    <w:name w:val="Hyperlink"/>
    <w:rPr>
      <w:color w:val="000080"/>
      <w:u w:val="single"/>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normal1" w:default="1">
    <w:name w:val="normal1"/>
    <w:qFormat/>
    <w:pPr>
      <w:widowControl/>
      <w:bidi w:val="0"/>
      <w:spacing w:lineRule="auto" w:line="252" w:before="0" w:after="80"/>
      <w:jc w:val="left"/>
    </w:pPr>
    <w:rPr>
      <w:rFonts w:ascii="Calibri" w:hAnsi="Calibri" w:eastAsia="Calibri" w:cs="Calibri"/>
      <w:color w:val="auto"/>
      <w:kern w:val="0"/>
      <w:sz w:val="22"/>
      <w:szCs w:val="22"/>
      <w:lang w:val="en-GB" w:eastAsia="zh-CN" w:bidi="hi-IN"/>
    </w:rPr>
  </w:style>
  <w:style w:type="paragraph" w:styleId="Title">
    <w:name w:val="Title"/>
    <w:basedOn w:val="normal1"/>
    <w:next w:val="normal1"/>
    <w:qFormat/>
    <w:pPr>
      <w:keepNext w:val="true"/>
      <w:keepLines w:val="false"/>
      <w:pageBreakBefore w:val="false"/>
      <w:widowControl/>
      <w:pBdr/>
      <w:shd w:val="clear" w:fill="auto"/>
      <w:spacing w:lineRule="auto" w:line="240" w:before="0" w:after="0"/>
      <w:ind w:hanging="0" w:left="0" w:right="0"/>
      <w:jc w:val="left"/>
    </w:pPr>
    <w:rPr>
      <w:rFonts w:ascii="Helvetica Neue" w:hAnsi="Helvetica Neue" w:eastAsia="Helvetica Neue" w:cs="Helvetica Neue"/>
      <w:b/>
      <w:i w:val="false"/>
      <w:caps w:val="false"/>
      <w:smallCaps w:val="false"/>
      <w:strike w:val="false"/>
      <w:dstrike w:val="false"/>
      <w:color w:val="000000"/>
      <w:position w:val="0"/>
      <w:sz w:val="60"/>
      <w:sz w:val="60"/>
      <w:szCs w:val="60"/>
      <w:u w:val="none"/>
      <w:shd w:fill="auto" w:val="clear"/>
      <w:vertAlign w:val="baseline"/>
    </w:rPr>
  </w:style>
  <w:style w:type="paragraph" w:styleId="Subtitle">
    <w:name w:val="Subtitle"/>
    <w:basedOn w:val="normal1"/>
    <w:next w:val="normal1"/>
    <w:qFormat/>
    <w:pPr>
      <w:keepNext w:val="true"/>
      <w:keepLines/>
      <w:pageBreakBefore w:val="false"/>
      <w:widowControl/>
      <w:pBdr/>
      <w:shd w:val="clear" w:fill="auto"/>
      <w:spacing w:lineRule="auto" w:line="240" w:before="360" w:after="80"/>
      <w:ind w:hanging="0" w:left="0" w:right="0"/>
      <w:jc w:val="left"/>
    </w:pPr>
    <w:rPr>
      <w:rFonts w:ascii="Georgia" w:hAnsi="Georgia" w:eastAsia="Georgia" w:cs="Georgia"/>
      <w:b w:val="false"/>
      <w:i/>
      <w:caps w:val="false"/>
      <w:smallCaps w:val="false"/>
      <w:strike w:val="false"/>
      <w:dstrike w:val="false"/>
      <w:color w:val="666666"/>
      <w:position w:val="0"/>
      <w:sz w:val="48"/>
      <w:sz w:val="48"/>
      <w:szCs w:val="48"/>
      <w:u w:val="none"/>
      <w:shd w:fill="auto" w:val="clear"/>
      <w:vertAlign w:val="baseline"/>
    </w:rPr>
  </w:style>
  <w:style w:type="paragraph" w:styleId="HeaderandFooter">
    <w:name w:val="Header and Footer"/>
    <w:basedOn w:val="Normal"/>
    <w:qFormat/>
    <w:pPr/>
    <w:rPr/>
  </w:style>
  <w:style w:type="paragraph" w:styleId="Header">
    <w:name w:val="header"/>
    <w:basedOn w:val="HeaderandFooter"/>
    <w:pPr/>
    <w:rPr/>
  </w:style>
  <w:style w:type="paragraph" w:styleId="Footer">
    <w:name w:val="footer"/>
    <w:basedOn w:val="HeaderandFooter"/>
    <w:pPr/>
    <w:rPr/>
  </w:style>
  <w:style w:type="table" w:default="1" w:styleId="TableNormal">
    <w:name w:val="TableNormal"/>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numbering" Target="numbering.xm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
</Relationships>
</file>

<file path=word/_rels/footer2.xml.rels><?xml version="1.0" encoding="UTF-8"?>
<Relationships xmlns="http://schemas.openxmlformats.org/package/2006/relationships"><Relationship Id="rId1" Type="http://schemas.openxmlformats.org/officeDocument/2006/relationships/hyperlink" Target="http://sm-pc.org/" TargetMode="External"/><Relationship Id="rId2" Type="http://schemas.openxmlformats.org/officeDocument/2006/relationships/hyperlink" Target="https://twitter.com/smorningsidepc" TargetMode="External"/><Relationship Id="rId3" Type="http://schemas.openxmlformats.org/officeDocument/2006/relationships/hyperlink" Target="http://www.facebook.com/southmorningsidepc" TargetMode="External"/><Relationship Id="rId4" Type="http://schemas.openxmlformats.org/officeDocument/2006/relationships/hyperlink" Target="mailto:chair@sm-pc.org" TargetMode="External"/>
</Relationships>
</file>

<file path=word/_rels/header3.xml.rels><?xml version="1.0" encoding="UTF-8"?>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
  <TotalTime>0</TotalTime>
  <Application>LibreOffice/25.2.4.3$Windows_X86_64 LibreOffice_project/33e196637044ead23f5c3226cde09b47731f7e27</Application>
  <AppVersion>15.0000</AppVersion>
  <Pages>4</Pages>
  <Words>1774</Words>
  <Characters>9217</Characters>
  <CharactersWithSpaces>10924</CharactersWithSpaces>
  <Paragraphs>92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en-GB</dc:language>
  <cp:lastModifiedBy/>
  <cp:revision>0</cp:revision>
  <dc:subject/>
  <dc:title/>
</cp:coreProperties>
</file>